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版本号：ZDHZ25-049Z20251103003</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三个燃气管道等老化更新改造基础设施项目-天然气采购</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ZDHZ25-049Z</w:t>
      </w:r>
      <w:r>
        <w:br/>
      </w:r>
      <w:r>
        <w:br/>
      </w:r>
      <w:r>
        <w:br/>
      </w:r>
    </w:p>
    <w:p>
      <w:pPr>
        <w:pStyle w:val="null3"/>
        <w:jc w:val="center"/>
        <w:outlineLvl w:val="5"/>
      </w:pPr>
      <w:r>
        <w:rPr>
          <w:rFonts w:ascii="仿宋_GB2312" w:hAnsi="仿宋_GB2312" w:cs="仿宋_GB2312" w:eastAsia="仿宋_GB2312"/>
          <w:sz w:val="15"/>
          <w:b/>
        </w:rPr>
        <w:t>城固县住房和城乡建设局</w:t>
      </w:r>
    </w:p>
    <w:p>
      <w:pPr>
        <w:pStyle w:val="null3"/>
        <w:jc w:val="center"/>
        <w:outlineLvl w:val="5"/>
      </w:pPr>
      <w:r>
        <w:rPr>
          <w:rFonts w:ascii="仿宋_GB2312" w:hAnsi="仿宋_GB2312" w:cs="仿宋_GB2312" w:eastAsia="仿宋_GB2312"/>
          <w:sz w:val="15"/>
          <w:b/>
        </w:rPr>
        <w:t>正大方略工程咨询有限公司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三个燃气管道等老化更新改造基础设施项目-天然气采购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ZDHZ25-049Z</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三个燃气管道等老化更新改造基础设施项目-天然气采购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对小区天燃气管道进行更新改造，共涉及居民5381户。</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采购包1（天然气）：属于专门面向中小企业采购。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兰雅馨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18991610121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采购包1：11,920,000.00元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采购包1：11,920,000.00元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开户银行：西安银行股份有限公司汉中分行营业部</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4"/>
        </w:rPr>
        <w:t>对小区天燃气管道进行更新改造，共涉及居民5381户。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11,920,000.00</w:t>
      </w:r>
    </w:p>
    <w:p>
      <w:pPr>
        <w:pStyle w:val="null3"/>
      </w:pPr>
      <w:r>
        <w:rPr>
          <w:rFonts w:ascii="仿宋_GB2312" w:hAnsi="仿宋_GB2312" w:cs="仿宋_GB2312" w:eastAsia="仿宋_GB2312"/>
        </w:rPr>
        <w:t>采购包最高限价（元）: 11,920,000.00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天然气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标的名称：天然气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对小区天燃气管道进行更新改造，共涉及居民5381户。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根据本项目服务内容，提供符合本项目相应的项目成员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安装完成后经采购人验收合格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(2)授权代表参加磋商的：授权委托书及授权代表身份证</w:t>
            </w:r>
          </w:p>
        </w:tc>
        <w:tc>
          <w:tcPr>
            <w:tcW w:type="dxa" w:w="1661"/>
          </w:tcPr>
          <w:p>
            <w:pPr>
              <w:pStyle w:val="null3"/>
            </w:pPr>
            <w:r>
              <w:rPr>
                <w:rFonts w:ascii="仿宋_GB2312" w:hAnsi="仿宋_GB2312" w:cs="仿宋_GB2312" w:eastAsia="仿宋_GB2312"/>
              </w:rPr>
              <w:t>响应文件--资格部分.docx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响应文件--资格部分.docx 中小企业声明函 残疾人福利性单位声明函 响应文件--商务技术部分.docx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响应文件--商务技术部分.docx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响应文件--资格部分.docx 响应文件--商务技术部分.docx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响应文件--资格部分.docx 中小企业声明函 残疾人福利性单位声明函 响应文件--商务技术部分.docx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响应文件--资格部分.docx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详见附件：响应文件--商务技术部分.docx</w:t>
      </w:r>
    </w:p>
    <w:p>
      <w:pPr>
        <w:pStyle w:val="null3"/>
        <w:ind w:firstLine="960"/>
      </w:pPr>
      <w:r>
        <w:rPr>
          <w:rFonts w:ascii="仿宋_GB2312" w:hAnsi="仿宋_GB2312" w:cs="仿宋_GB2312" w:eastAsia="仿宋_GB2312"/>
        </w:rPr>
        <w:t>详见附件：响应文件--资格部分.docx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