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版本号：ZDHZ25-048Z20251103003</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三个燃气管道等老化更新改造基础设施项目-自来水采购</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ZDHZ25-048Z</w:t>
      </w:r>
      <w:r>
        <w:br/>
      </w:r>
      <w:r>
        <w:br/>
      </w:r>
      <w:r>
        <w:br/>
      </w:r>
    </w:p>
    <w:p>
      <w:pPr>
        <w:pStyle w:val="null3"/>
        <w:jc w:val="center"/>
        <w:outlineLvl w:val="5"/>
      </w:pPr>
      <w:r>
        <w:rPr>
          <w:rFonts w:ascii="仿宋_GB2312" w:hAnsi="仿宋_GB2312" w:cs="仿宋_GB2312" w:eastAsia="仿宋_GB2312"/>
          <w:sz w:val="15"/>
          <w:b/>
        </w:rPr>
        <w:t>城固县住房和城乡建设局</w:t>
      </w:r>
    </w:p>
    <w:p>
      <w:pPr>
        <w:pStyle w:val="null3"/>
        <w:jc w:val="center"/>
        <w:outlineLvl w:val="5"/>
      </w:pPr>
      <w:r>
        <w:rPr>
          <w:rFonts w:ascii="仿宋_GB2312" w:hAnsi="仿宋_GB2312" w:cs="仿宋_GB2312" w:eastAsia="仿宋_GB2312"/>
          <w:sz w:val="15"/>
          <w:b/>
        </w:rPr>
        <w:t>正大方略工程咨询有限公司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三个燃气管道等老化更新改造基础设施项目-自来水采购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ZDHZ25-048Z</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三个燃气管道等老化更新改造基础设施项目-自来水采购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对小区给排水管线进行更新改造，共涉及居民6517户。</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采购包1（自来水）：属于专门面向中小企业采购。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兰雅馨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18991610121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采购包1：13,140,000.00元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采购包1：13,140,000.00元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开户银行：西安银行股份有限公司汉中分行营业部</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对小区给排水管线进行更新改造，共涉及居民6517户。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13,140,000.00</w:t>
      </w:r>
    </w:p>
    <w:p>
      <w:pPr>
        <w:pStyle w:val="null3"/>
      </w:pPr>
      <w:r>
        <w:rPr>
          <w:rFonts w:ascii="仿宋_GB2312" w:hAnsi="仿宋_GB2312" w:cs="仿宋_GB2312" w:eastAsia="仿宋_GB2312"/>
        </w:rPr>
        <w:t>采购包最高限价（元）: 13,140,000.00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自来水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标的名称：自来水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对小区给排水管线进行更新改造，共涉及居民6517户。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根据本项目服务内容，提供符合本项目相应的项目成员。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安装完成后经采购人验收合格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(2)授权代表参加磋商的：授权委托书及授权代表身份证</w:t>
            </w:r>
          </w:p>
        </w:tc>
        <w:tc>
          <w:tcPr>
            <w:tcW w:type="dxa" w:w="1661"/>
          </w:tcPr>
          <w:p>
            <w:pPr>
              <w:pStyle w:val="null3"/>
            </w:pPr>
            <w:r>
              <w:rPr>
                <w:rFonts w:ascii="仿宋_GB2312" w:hAnsi="仿宋_GB2312" w:cs="仿宋_GB2312" w:eastAsia="仿宋_GB2312"/>
              </w:rPr>
              <w:t>响应文件--资格部分.docx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响应文件--资格部分.docx 中小企业声明函 残疾人福利性单位声明函 响应文件--商务技术部分.docx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响应文件--商务技术部分.docx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响应文件--资格部分.docx 响应文件--商务技术部分.docx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响应文件--资格部分.docx 中小企业声明函 残疾人福利性单位声明函 响应文件--商务技术部分.docx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响应文件--资格部分.docx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详见附件：响应文件--商务技术部分.docx</w:t>
      </w:r>
    </w:p>
    <w:p>
      <w:pPr>
        <w:pStyle w:val="null3"/>
        <w:ind w:firstLine="960"/>
      </w:pPr>
      <w:r>
        <w:rPr>
          <w:rFonts w:ascii="仿宋_GB2312" w:hAnsi="仿宋_GB2312" w:cs="仿宋_GB2312" w:eastAsia="仿宋_GB2312"/>
        </w:rPr>
        <w:t>详见附件：响应文件--资格部分.docx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