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版本号：ZHYB-HZ-2025-03720251124001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城固县城市更新项目（城区108国道沿线民乐路林业局公园提升改造）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ZHYB-HZ-2025-037</w:t>
      </w:r>
      <w:r>
        <w:br/>
      </w:r>
      <w:r>
        <w:br/>
      </w:r>
      <w:r>
        <w:br/>
      </w:r>
    </w:p>
    <w:p>
      <w:pPr>
        <w:pStyle w:val="null3"/>
        <w:jc w:val="center"/>
        <w:outlineLvl w:val="2"/>
      </w:pPr>
      <w:r>
        <w:rPr>
          <w:rFonts w:ascii="仿宋_GB2312" w:hAnsi="仿宋_GB2312" w:cs="仿宋_GB2312" w:eastAsia="仿宋_GB2312"/>
          <w:sz w:val="28"/>
          <w:b/>
        </w:rPr>
        <w:t>城固县住房和城乡建设局</w:t>
      </w:r>
    </w:p>
    <w:p>
      <w:pPr>
        <w:pStyle w:val="null3"/>
        <w:jc w:val="center"/>
        <w:outlineLvl w:val="2"/>
      </w:pPr>
      <w:r>
        <w:rPr>
          <w:rFonts w:ascii="仿宋_GB2312" w:hAnsi="仿宋_GB2312" w:cs="仿宋_GB2312" w:eastAsia="仿宋_GB2312"/>
          <w:sz w:val="28"/>
          <w:b/>
        </w:rPr>
        <w:t>中鸿亿博集团有限公司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中鸿亿博集团有限公司</w:t>
      </w:r>
      <w:r>
        <w:rPr>
          <w:rFonts w:ascii="仿宋_GB2312" w:hAnsi="仿宋_GB2312" w:cs="仿宋_GB2312" w:eastAsia="仿宋_GB2312"/>
        </w:rPr>
        <w:t>（以下简称“代理机构”）受</w:t>
      </w:r>
      <w:r>
        <w:rPr>
          <w:rFonts w:ascii="仿宋_GB2312" w:hAnsi="仿宋_GB2312" w:cs="仿宋_GB2312" w:eastAsia="仿宋_GB2312"/>
        </w:rPr>
        <w:t>城固县住房和城乡建设局</w:t>
      </w:r>
      <w:r>
        <w:rPr>
          <w:rFonts w:ascii="仿宋_GB2312" w:hAnsi="仿宋_GB2312" w:cs="仿宋_GB2312" w:eastAsia="仿宋_GB2312"/>
        </w:rPr>
        <w:t>委托，拟对</w:t>
      </w:r>
      <w:r>
        <w:rPr>
          <w:rFonts w:ascii="仿宋_GB2312" w:hAnsi="仿宋_GB2312" w:cs="仿宋_GB2312" w:eastAsia="仿宋_GB2312"/>
        </w:rPr>
        <w:t>城固县城市更新项目（城区108国道沿线民乐路林业局公园提升改造）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ZHYB-HZ-2025-037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城固县城市更新项目（城区108国道沿线民乐路林业局公园提升改造）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城固县民乐路林业局公园内铺设人行道块料、混凝土路面；安装侧石、不锈钢垃圾桶、实木座椅、检查井；种植樱花、桂花、红叶石楠球、百慕大混播黑麦草草皮等工程。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采购包1（城固县城市更新项目（城区108国道沿线民乐路林业局公园提升改造））：属于专门面向中小企业采购。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pPr>
        <w:pStyle w:val="null3"/>
      </w:pPr>
      <w:r>
        <w:rPr>
          <w:rFonts w:ascii="仿宋_GB2312" w:hAnsi="仿宋_GB2312" w:cs="仿宋_GB2312" w:eastAsia="仿宋_GB2312"/>
        </w:rPr>
        <w:t>2、法定代表人或委托代理人身份证明：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资格承诺：供应商须具有健全的财务会计制度，具有履行合同所必需的设备和专业技术能力,具有依法缴纳税收和社会保障金的良好记录，以及参与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4、本项目不接受联合体磋商：供应商应提供《非联合体声明》。</w:t>
      </w:r>
    </w:p>
    <w:p>
      <w:pPr>
        <w:pStyle w:val="null3"/>
      </w:pPr>
      <w:r>
        <w:rPr>
          <w:rFonts w:ascii="仿宋_GB2312" w:hAnsi="仿宋_GB2312" w:cs="仿宋_GB2312" w:eastAsia="仿宋_GB2312"/>
        </w:rPr>
        <w:t>5、供应商资质：供应商需具备建设行政主管部门核发的市政公用工程施工总承包三级及以上资质，并取得安全生产许可证。</w:t>
      </w:r>
    </w:p>
    <w:p>
      <w:pPr>
        <w:pStyle w:val="null3"/>
      </w:pPr>
      <w:r>
        <w:rPr>
          <w:rFonts w:ascii="仿宋_GB2312" w:hAnsi="仿宋_GB2312" w:cs="仿宋_GB2312" w:eastAsia="仿宋_GB2312"/>
        </w:rPr>
        <w:t>6、项目负责人要求：项目负责人须具备市政公用工程专业二级及以上注册建造师执业资格，并取得安全生产考核合格证书（建安B证），且无在建工程。</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城固县东环一路南段5号院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0916-7211654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中鸿亿博集团有限公司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陕西省汉中市汉台区前进西路艾慕酒店405室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0916-8851898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韩科长</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采购包1：756,245.87元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价为基数，根据《国家计委关于印发（招标代理服务收费管理暂行办法）的通知》（计价格〔2002〕1980号）以及《国家发展改革委关于进一步放开建设项目专项业务服务价格的通知》（发改价格〔2015〕299号）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城固县住房和城乡建设局</w:t>
      </w:r>
      <w:r>
        <w:rPr>
          <w:rFonts w:ascii="仿宋_GB2312" w:hAnsi="仿宋_GB2312" w:cs="仿宋_GB2312" w:eastAsia="仿宋_GB2312"/>
        </w:rPr>
        <w:t>和</w:t>
      </w:r>
      <w:r>
        <w:rPr>
          <w:rFonts w:ascii="仿宋_GB2312" w:hAnsi="仿宋_GB2312" w:cs="仿宋_GB2312" w:eastAsia="仿宋_GB2312"/>
        </w:rPr>
        <w:t>中鸿亿博集团有限公司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中鸿亿博集团有限公司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中鸿亿博集团有限公司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符合国家规定及相关标准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中鸿亿博集团有限公司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中鸿亿博集团有限公司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中鸿亿博集团有限公司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联系人：陈先生</w:t>
      </w:r>
    </w:p>
    <w:p>
      <w:pPr>
        <w:pStyle w:val="null3"/>
      </w:pPr>
      <w:r>
        <w:rPr>
          <w:rFonts w:ascii="仿宋_GB2312" w:hAnsi="仿宋_GB2312" w:cs="仿宋_GB2312" w:eastAsia="仿宋_GB2312"/>
        </w:rPr>
        <w:t>联系电话：0916-8851898</w:t>
      </w:r>
    </w:p>
    <w:p>
      <w:pPr>
        <w:pStyle w:val="null3"/>
      </w:pPr>
      <w:r>
        <w:rPr>
          <w:rFonts w:ascii="仿宋_GB2312" w:hAnsi="仿宋_GB2312" w:cs="仿宋_GB2312" w:eastAsia="仿宋_GB2312"/>
        </w:rPr>
        <w:t>地址：陕西省汉中市汉台区前进西路艾慕酒店405室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756,245.87</w:t>
      </w:r>
    </w:p>
    <w:p>
      <w:pPr>
        <w:pStyle w:val="null3"/>
      </w:pPr>
      <w:r>
        <w:rPr>
          <w:rFonts w:ascii="仿宋_GB2312" w:hAnsi="仿宋_GB2312" w:cs="仿宋_GB2312" w:eastAsia="仿宋_GB2312"/>
        </w:rPr>
        <w:t>采购包最高限价（元）: 756,245.87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提升改造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756,245.87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标的名称：提升改造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9"/>
                <w:color w:val="000000"/>
              </w:rPr>
              <w:t>具体内容详见附件工程量清单（电子招标书）。</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质量达到国家合格标准，竣工验收合格。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金的良好记录，以及参与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供应商应提供《非联合体声明》。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供应商需具备建设行政主管部门核发的市政公用工程施工总承包三级及以上资质，并取得安全生产许可证。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项目负责人须具备市政公用工程专业二级及以上注册建造师执业资格，并取得安全生产考核合格证书（建安B证），且无在建工程。</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应满足磋商文件中的要求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技术及商务方案.docx 供应商应提交的相关资格证明材料.pdf 技术服务合同条款及其他商务要求应答表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只能有一个有效报价，不得提交选择性报价，且报价不得超过采购预算金额</w:t>
            </w:r>
          </w:p>
        </w:tc>
        <w:tc>
          <w:tcPr>
            <w:tcW w:type="dxa" w:w="1661"/>
          </w:tcPr>
          <w:p>
            <w:pPr>
              <w:pStyle w:val="null3"/>
            </w:pPr>
            <w:r>
              <w:rPr>
                <w:rFonts w:ascii="仿宋_GB2312" w:hAnsi="仿宋_GB2312" w:cs="仿宋_GB2312" w:eastAsia="仿宋_GB2312"/>
              </w:rPr>
              <w:t>报价函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针对本项目提供施工方案，包含①项目总体概况表述；②施工方法；③工程重难点及解决措施；④施工质量通病防治措施。施工方案共4项。 1.施工方案内容详细、完善、针对性强计，每项计3分，最高计12分； 2.施工方案内容较为详细、较为完善、针对性较好，每项计2分； 3.施工方案内容一般或不适用于本项目，每项计1分；未提供不计分。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针对本项目提供质量保证措施，包含①质量管理工作流程；②工程质量保障方案；③工程质量控制体系；④各施工阶段质量管理措施。质量保证措施共4项。 1.质量保证措施内容有效可行、措施得力，每项计3分，最高计12分； 2.质量保证措施内容较为有效可行、措施较为得力，每项计2分； 3.质量保证措施内容一般或不适用于本项目，每项计1分；未提供不计分。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针对本项目提供进度保证措施，包含①项目实施进度目标分析；②施工进度计划措施；③关键节点计划措施；④遇夜间、雨季、高温等情况的工期保证措施。进度保证措施共4项。 1.进度保证措施内容详细、完善、有针对性计，每项计3分，最高计12分； 2.进度保证措施内容较为详细、较为完善、针对性较好，每项计2分； 3.进度保证措施内容一般或不适用于本项目，每项计1分；未提供不计分。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技术及商务方案.docx</w:t>
            </w:r>
          </w:p>
        </w:tc>
      </w:tr>
      <w:tr>
        <w:tc>
          <w:tcPr>
            <w:tcW w:type="dxa" w:w="831"/>
            <w:vMerge/>
          </w:tcPr>
          <w:p/>
        </w:tc>
        <w:tc>
          <w:tcPr>
            <w:tcW w:type="dxa" w:w="1661"/>
          </w:tcPr>
          <w:p>
            <w:pPr>
              <w:pStyle w:val="null3"/>
            </w:pPr>
            <w:r>
              <w:rPr>
                <w:rFonts w:ascii="仿宋_GB2312" w:hAnsi="仿宋_GB2312" w:cs="仿宋_GB2312" w:eastAsia="仿宋_GB2312"/>
              </w:rPr>
              <w:t>安全文明施工保证措施</w:t>
            </w:r>
          </w:p>
        </w:tc>
        <w:tc>
          <w:tcPr>
            <w:tcW w:type="dxa" w:w="2492"/>
          </w:tcPr>
          <w:p>
            <w:pPr>
              <w:pStyle w:val="null3"/>
            </w:pPr>
            <w:r>
              <w:rPr>
                <w:rFonts w:ascii="仿宋_GB2312" w:hAnsi="仿宋_GB2312" w:cs="仿宋_GB2312" w:eastAsia="仿宋_GB2312"/>
              </w:rPr>
              <w:t>针对本项目提供安全文明施工保证措施，包含①安全文明施工管理制度；②安全文明施工措施；③安全应急预案；④安全生产教育培训。安全文明施工保证措施共4项。 1.安全文明施工保证措施内容有效可行、措施得力，每项计3分，最高计12分； 2.安全文明施工保证措施内容较为有效可行、措施较为得力，每项计2分； 3.安全文明施工保证措施内容一般或不适用于本项目，每项计1分；未提供不计分。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针对本项目提供项目管理机构，包含①管理组织结构；②项目关键岗位人员配备及职责；③专业作业队配置及实名制管理。项目管理机构共3项。 1.项目管理机构详细合理、人员配置齐全、管理措施得力，每项计2分；最高计6分； 2.项目管理机构较为详细、人员人员较为齐全、管理措施较为得力，每项计1.5分； 3.项目管理机构一般、人员人员配置不齐全、管理措施一般，每项计1分；未提供不计分。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技术及商务方案.docx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针对本项目提供环境保护措施，包含①环境保护管理体系 ②大气污染防治措施③水环境保护、噪声控制措施等。环境保护措施共3项。 1.环境保护措施内容有效可行、措施得力，每项计2分，最高计6分； 2.环境保护措施内容较为有效可行、措施较为得力，每项计1.5分； 3.环境保护措施内容一般或不适用于本项目，每项计1分；未提供不计分。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提供2022年至今(以合同签订时间为准)类似项目的业绩，每项业绩计2.5分，最高计5分。(提供中标通知书或合同协议书复印件加盖单位公章)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技术及商务方案.docx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针对本项目作出合理有效的施工承诺（主要为不得拖欠施工人员工资、为施工人员缴纳保险等），每提供1项计2.5分，最高计5分；未提供不计分。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技术及商务方案.docx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2.以满足本次磋商文件要求的最低报价为评审基准价，其价格为满分； 3.供应商报价得分=[评审基准价/最后报价]×30 注：本项目专门面向中小微企业采购，不再执行价格优惠政策。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详见附件：技术及商务方案.docx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