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版本号：HC2025CG3320251202002</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城国县中医医院信息系统维保服务项目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HC2025CG33</w:t>
      </w:r>
      <w:r>
        <w:br/>
      </w:r>
      <w:r>
        <w:br/>
      </w:r>
      <w:r>
        <w:br/>
      </w:r>
    </w:p>
    <w:p>
      <w:pPr>
        <w:pStyle w:val="null3"/>
        <w:jc w:val="center"/>
        <w:outlineLvl w:val="5"/>
      </w:pPr>
      <w:r>
        <w:rPr>
          <w:rFonts w:ascii="仿宋_GB2312" w:hAnsi="仿宋_GB2312" w:cs="仿宋_GB2312" w:eastAsia="仿宋_GB2312"/>
          <w:sz w:val="15"/>
          <w:b/>
        </w:rPr>
        <w:t>城固县中医医院</w:t>
      </w:r>
    </w:p>
    <w:p>
      <w:pPr>
        <w:pStyle w:val="null3"/>
        <w:jc w:val="center"/>
        <w:outlineLvl w:val="5"/>
      </w:pPr>
      <w:r>
        <w:rPr>
          <w:rFonts w:ascii="仿宋_GB2312" w:hAnsi="仿宋_GB2312" w:cs="仿宋_GB2312" w:eastAsia="仿宋_GB2312"/>
          <w:sz w:val="15"/>
          <w:b/>
        </w:rPr>
        <w:t>陕西华城建设项目管理有限公司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2025年11月25日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陕西华城建设项目管理有限公司</w:t>
      </w:r>
      <w:r>
        <w:rPr>
          <w:rFonts w:ascii="仿宋_GB2312" w:hAnsi="仿宋_GB2312" w:cs="仿宋_GB2312" w:eastAsia="仿宋_GB2312"/>
        </w:rPr>
        <w:t>（以下简称“代理机构”）受</w:t>
      </w:r>
      <w:r>
        <w:rPr>
          <w:rFonts w:ascii="仿宋_GB2312" w:hAnsi="仿宋_GB2312" w:cs="仿宋_GB2312" w:eastAsia="仿宋_GB2312"/>
        </w:rPr>
        <w:t>城固县中医医院</w:t>
      </w:r>
      <w:r>
        <w:rPr>
          <w:rFonts w:ascii="仿宋_GB2312" w:hAnsi="仿宋_GB2312" w:cs="仿宋_GB2312" w:eastAsia="仿宋_GB2312"/>
        </w:rPr>
        <w:t>委托，拟对</w:t>
      </w:r>
      <w:r>
        <w:rPr>
          <w:rFonts w:ascii="仿宋_GB2312" w:hAnsi="仿宋_GB2312" w:cs="仿宋_GB2312" w:eastAsia="仿宋_GB2312"/>
        </w:rPr>
        <w:t>城国县中医医院信息系统维保服务项目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HC2025CG33</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城国县中医医院信息系统维保服务项目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1、HIS、EMR、LIS、PACS等全部中联品牌系统维护服务； 2、影像设备一年内全部接口； 3、检验设备一年内全部接口； 4、三方系统接口； 5、政策性响应接口接入； 6、数据库维护等方面维保。</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具有独立承担民事责任的能力且具备向采购人提供相关服务的企业法人，其他组织或者自然人，企业法人应提供统一社会信用代码的营业执照:其他组织应提供合法证明文件;自然人应提供身份证明文件：提供合格有效的法人或者其他组织的营业执照、事业单位法人证等证明文件或自然人的身份证明</w:t>
      </w:r>
    </w:p>
    <w:p>
      <w:pPr>
        <w:pStyle w:val="null3"/>
      </w:pPr>
      <w:r>
        <w:rPr>
          <w:rFonts w:ascii="仿宋_GB2312" w:hAnsi="仿宋_GB2312" w:cs="仿宋_GB2312" w:eastAsia="仿宋_GB2312"/>
        </w:rPr>
        <w:t>2、法定代表人直接参加磋商的，须出具法人身份证(附法定代表人身份证复印件);法定代表人授权代表参加磋商的，须出具法定代表人授权书及授权代表身份证(附法走代表人身份证复印件及被授权人身份证复印件)：法定代表人直接参加磋商的，须出具法人身份证(附法定代表人身份证复印件);法定代表人授权代表参加磋商的，须出具法定代表人授权书及授权代表身份证(附法走代表人身份证复印件及被授权人身份证复印件)</w:t>
      </w:r>
    </w:p>
    <w:p>
      <w:pPr>
        <w:pStyle w:val="null3"/>
      </w:pPr>
      <w:r>
        <w:rPr>
          <w:rFonts w:ascii="仿宋_GB2312" w:hAnsi="仿宋_GB2312" w:cs="仿宋_GB2312" w:eastAsia="仿宋_GB2312"/>
        </w:rPr>
        <w:t>3、供应商须具有健全的财务会计制度，具有履行合同所必需的设备和专业技术能力,具有依法缴纳税收和社会保障金的良好记录，以及参与本项目采购活动前三年内在经营活动中无重大违法活动记录，供应商提供《汉中市政府采购供应商资格承诺函》：供应商须具有健全的财务会计制度，具有履行合同所必需的设备和专业技术能力,具有依法缴纳税收和社会保障金的良好记录，以及参与本项目采购活动前三年内在经营活动中无重大违法活动记录，供应商提供《汉中市政府采购供应商资格承诺函》</w:t>
      </w:r>
    </w:p>
    <w:p>
      <w:pPr>
        <w:pStyle w:val="null3"/>
      </w:pPr>
      <w:r>
        <w:rPr>
          <w:rFonts w:ascii="仿宋_GB2312" w:hAnsi="仿宋_GB2312" w:cs="仿宋_GB2312" w:eastAsia="仿宋_GB2312"/>
        </w:rPr>
        <w:t>4、本项目不接受联合体磋商，供应商应提供《非联合体声明》：供应商应提供《非联合体声明》</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城固县中医医院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城固县城108国道44号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19991617188</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陕西华城建设项目管理有限公司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陕西省汉中市汉台区天汉大道总楼总部基地六楼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0916-2259998</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城固县政府采购管理股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0916-7203525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采购包1：340,000.00元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采购包1：340,000.00元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开户名称：陕西华城建设项目管理有限公司</w:t>
            </w:r>
          </w:p>
          <w:p>
            <w:pPr>
              <w:pStyle w:val="null3"/>
            </w:pPr>
            <w:r>
              <w:rPr>
                <w:rFonts w:ascii="仿宋_GB2312" w:hAnsi="仿宋_GB2312" w:cs="仿宋_GB2312" w:eastAsia="仿宋_GB2312"/>
              </w:rPr>
              <w:t>开户银行：中国工商银行汉中市中山街支行</w:t>
            </w:r>
          </w:p>
          <w:p>
            <w:pPr>
              <w:pStyle w:val="null3"/>
            </w:pPr>
            <w:r>
              <w:rPr>
                <w:rFonts w:ascii="仿宋_GB2312" w:hAnsi="仿宋_GB2312" w:cs="仿宋_GB2312" w:eastAsia="仿宋_GB2312"/>
              </w:rPr>
              <w:t>银行账号：2606050209245102397</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代理服务费收费标准：代理服务费收取标准按照《招标代理服务收费管理暂行办法》计价格[2002]1980号文和发改价格[2011]534号文标准计取，由中标供应商在领取成交通知书前向代理机构支付</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城固县中医医院</w:t>
      </w:r>
      <w:r>
        <w:rPr>
          <w:rFonts w:ascii="仿宋_GB2312" w:hAnsi="仿宋_GB2312" w:cs="仿宋_GB2312" w:eastAsia="仿宋_GB2312"/>
        </w:rPr>
        <w:t>和</w:t>
      </w:r>
      <w:r>
        <w:rPr>
          <w:rFonts w:ascii="仿宋_GB2312" w:hAnsi="仿宋_GB2312" w:cs="仿宋_GB2312" w:eastAsia="仿宋_GB2312"/>
        </w:rPr>
        <w:t>陕西华城建设项目管理有限公司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陕西华城建设项目管理有限公司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城固县中医医院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陕西华城建设项目管理有限公司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陕西华城建设项目管理有限公司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陕西华城建设项目管理有限公司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陕西华城建设项目管理有限公司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1、HIS、EMR、LIS、PACS等全部中联品牌系统维护服务； 2、影像设备一年内全部接口； 3、检验设备一年内全部接口； 4、三方系统接口； 5、政策性响应接口接入； 6、数据库维护等方面维保。</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340,000.00</w:t>
      </w:r>
    </w:p>
    <w:p>
      <w:pPr>
        <w:pStyle w:val="null3"/>
      </w:pPr>
      <w:r>
        <w:rPr>
          <w:rFonts w:ascii="仿宋_GB2312" w:hAnsi="仿宋_GB2312" w:cs="仿宋_GB2312" w:eastAsia="仿宋_GB2312"/>
        </w:rPr>
        <w:t>采购包最高限价（元）: 340,000.00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城国县中医医院 信息系统维保服务项目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340,000.00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标的名称：城国县中医医院 信息系统维保服务项目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 xml:space="preserve"> </w:t>
            </w:r>
          </w:p>
          <w:p>
            <w:pPr>
              <w:pStyle w:val="null3"/>
              <w:spacing w:before="255" w:after="255"/>
              <w:ind w:left="720"/>
              <w:jc w:val="both"/>
              <w:outlineLvl w:val="2"/>
            </w:pPr>
            <w:r>
              <w:rPr>
                <w:rFonts w:ascii="仿宋_GB2312" w:hAnsi="仿宋_GB2312" w:cs="仿宋_GB2312" w:eastAsia="仿宋_GB2312"/>
                <w:sz w:val="44"/>
                <w:b/>
              </w:rPr>
              <w:t>主要内容</w:t>
            </w:r>
          </w:p>
          <w:p>
            <w:pPr>
              <w:pStyle w:val="null3"/>
              <w:jc w:val="both"/>
            </w:pPr>
            <w:r>
              <w:rPr>
                <w:rFonts w:ascii="仿宋_GB2312" w:hAnsi="仿宋_GB2312" w:cs="仿宋_GB2312" w:eastAsia="仿宋_GB2312"/>
                <w:sz w:val="24"/>
              </w:rPr>
              <w:t>1、HIS、EMR、LIS、PACS等全部中联品牌系统维护服务；</w:t>
            </w:r>
          </w:p>
          <w:p>
            <w:pPr>
              <w:pStyle w:val="null3"/>
              <w:jc w:val="both"/>
            </w:pPr>
            <w:r>
              <w:rPr>
                <w:rFonts w:ascii="仿宋_GB2312" w:hAnsi="仿宋_GB2312" w:cs="仿宋_GB2312" w:eastAsia="仿宋_GB2312"/>
                <w:sz w:val="24"/>
              </w:rPr>
              <w:t>2、影像设备一年内全部接口；</w:t>
            </w:r>
          </w:p>
          <w:p>
            <w:pPr>
              <w:pStyle w:val="null3"/>
              <w:jc w:val="both"/>
            </w:pPr>
            <w:r>
              <w:rPr>
                <w:rFonts w:ascii="仿宋_GB2312" w:hAnsi="仿宋_GB2312" w:cs="仿宋_GB2312" w:eastAsia="仿宋_GB2312"/>
                <w:sz w:val="24"/>
              </w:rPr>
              <w:t>3、检验设备一年内全部接口；</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三方</w:t>
            </w:r>
            <w:r>
              <w:rPr>
                <w:rFonts w:ascii="仿宋_GB2312" w:hAnsi="仿宋_GB2312" w:cs="仿宋_GB2312" w:eastAsia="仿宋_GB2312"/>
                <w:sz w:val="24"/>
              </w:rPr>
              <w:t>系统</w:t>
            </w:r>
            <w:r>
              <w:rPr>
                <w:rFonts w:ascii="仿宋_GB2312" w:hAnsi="仿宋_GB2312" w:cs="仿宋_GB2312" w:eastAsia="仿宋_GB2312"/>
                <w:sz w:val="24"/>
              </w:rPr>
              <w:t>接口</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政策性响应</w:t>
            </w:r>
            <w:r>
              <w:rPr>
                <w:rFonts w:ascii="仿宋_GB2312" w:hAnsi="仿宋_GB2312" w:cs="仿宋_GB2312" w:eastAsia="仿宋_GB2312"/>
                <w:sz w:val="24"/>
              </w:rPr>
              <w:t>接口</w:t>
            </w:r>
            <w:r>
              <w:rPr>
                <w:rFonts w:ascii="仿宋_GB2312" w:hAnsi="仿宋_GB2312" w:cs="仿宋_GB2312" w:eastAsia="仿宋_GB2312"/>
                <w:sz w:val="24"/>
              </w:rPr>
              <w:t>接入</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数据库维护等方面维保</w:t>
            </w:r>
            <w:r>
              <w:rPr>
                <w:rFonts w:ascii="仿宋_GB2312" w:hAnsi="仿宋_GB2312" w:cs="仿宋_GB2312" w:eastAsia="仿宋_GB2312"/>
                <w:sz w:val="24"/>
              </w:rPr>
              <w:t>。</w:t>
            </w:r>
          </w:p>
          <w:tbl>
            <w:tblPr>
              <w:tblInd w:type="dxa" w:w="120"/>
              <w:tblBorders>
                <w:top w:val="none" w:color="000000" w:sz="4"/>
                <w:left w:val="none" w:color="000000" w:sz="4"/>
                <w:bottom w:val="none" w:color="000000" w:sz="4"/>
                <w:right w:val="none" w:color="000000" w:sz="4"/>
                <w:insideH w:val="none"/>
                <w:insideV w:val="none"/>
              </w:tblBorders>
            </w:tblPr>
            <w:tblGrid>
              <w:gridCol w:w="182"/>
              <w:gridCol w:w="433"/>
              <w:gridCol w:w="711"/>
              <w:gridCol w:w="1217"/>
            </w:tblGrid>
            <w:tr>
              <w:tc>
                <w:tcPr>
                  <w:tcW w:type="dxa" w:w="1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序号</w:t>
                  </w:r>
                </w:p>
              </w:tc>
              <w:tc>
                <w:tcPr>
                  <w:tcW w:type="dxa" w:w="4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类别</w:t>
                  </w:r>
                </w:p>
              </w:tc>
              <w:tc>
                <w:tcPr>
                  <w:tcW w:type="dxa" w:w="7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内容</w:t>
                  </w:r>
                </w:p>
              </w:tc>
              <w:tc>
                <w:tcPr>
                  <w:tcW w:type="dxa" w:w="12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说明</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1</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基础应用维护服务</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中联品牌系统</w:t>
                  </w:r>
                </w:p>
              </w:tc>
              <w:tc>
                <w:tcPr>
                  <w:tcW w:type="dxa" w:w="1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产品运维服务</w:t>
                  </w:r>
                </w:p>
                <w:p>
                  <w:pPr>
                    <w:pStyle w:val="null3"/>
                    <w:jc w:val="left"/>
                  </w:pPr>
                  <w:r>
                    <w:rPr>
                      <w:rFonts w:ascii="仿宋_GB2312" w:hAnsi="仿宋_GB2312" w:cs="仿宋_GB2312" w:eastAsia="仿宋_GB2312"/>
                      <w:sz w:val="22"/>
                      <w:color w:val="000000"/>
                    </w:rPr>
                    <w:t>日常问题处理</w:t>
                  </w:r>
                </w:p>
                <w:p>
                  <w:pPr>
                    <w:pStyle w:val="null3"/>
                    <w:jc w:val="both"/>
                  </w:pPr>
                  <w:r>
                    <w:rPr>
                      <w:rFonts w:ascii="仿宋_GB2312" w:hAnsi="仿宋_GB2312" w:cs="仿宋_GB2312" w:eastAsia="仿宋_GB2312"/>
                      <w:sz w:val="22"/>
                      <w:b/>
                    </w:rPr>
                    <w:t>服务方式：</w:t>
                  </w:r>
                </w:p>
                <w:p>
                  <w:pPr>
                    <w:pStyle w:val="null3"/>
                    <w:jc w:val="left"/>
                  </w:pPr>
                  <w:r>
                    <w:rPr>
                      <w:rFonts w:ascii="仿宋_GB2312" w:hAnsi="仿宋_GB2312" w:cs="仿宋_GB2312" w:eastAsia="仿宋_GB2312"/>
                      <w:sz w:val="22"/>
                    </w:rPr>
                    <w:t>1、有专门的人员服务，提供现场及远程服务；</w:t>
                  </w:r>
                </w:p>
                <w:p>
                  <w:pPr>
                    <w:pStyle w:val="null3"/>
                    <w:jc w:val="both"/>
                  </w:pPr>
                  <w:r>
                    <w:rPr>
                      <w:rFonts w:ascii="仿宋_GB2312" w:hAnsi="仿宋_GB2312" w:cs="仿宋_GB2312" w:eastAsia="仿宋_GB2312"/>
                      <w:sz w:val="22"/>
                    </w:rPr>
                    <w:t>2、服务范围内软件出现问题不能运行时在6小时间内赶到现场；</w:t>
                  </w:r>
                </w:p>
                <w:p>
                  <w:pPr>
                    <w:pStyle w:val="null3"/>
                    <w:jc w:val="both"/>
                  </w:pPr>
                  <w:r>
                    <w:rPr>
                      <w:rFonts w:ascii="仿宋_GB2312" w:hAnsi="仿宋_GB2312" w:cs="仿宋_GB2312" w:eastAsia="仿宋_GB2312"/>
                      <w:sz w:val="22"/>
                    </w:rPr>
                    <w:t>3、每季度进行一次数据完整性及安全性验证；</w:t>
                  </w:r>
                </w:p>
                <w:p>
                  <w:pPr>
                    <w:pStyle w:val="null3"/>
                    <w:jc w:val="both"/>
                  </w:pPr>
                  <w:r>
                    <w:rPr>
                      <w:rFonts w:ascii="仿宋_GB2312" w:hAnsi="仿宋_GB2312" w:cs="仿宋_GB2312" w:eastAsia="仿宋_GB2312"/>
                      <w:sz w:val="22"/>
                    </w:rPr>
                    <w:t>4、每季度进行一次进行数据库调整优化，提高访问数据速度；</w:t>
                  </w:r>
                </w:p>
                <w:p>
                  <w:pPr>
                    <w:pStyle w:val="null3"/>
                    <w:jc w:val="both"/>
                  </w:pPr>
                  <w:r>
                    <w:rPr>
                      <w:rFonts w:ascii="仿宋_GB2312" w:hAnsi="仿宋_GB2312" w:cs="仿宋_GB2312" w:eastAsia="仿宋_GB2312"/>
                      <w:sz w:val="22"/>
                    </w:rPr>
                    <w:t>5、协助医疗设备进行调试，保证系统完整安全应用。</w:t>
                  </w:r>
                </w:p>
                <w:p>
                  <w:pPr>
                    <w:pStyle w:val="null3"/>
                    <w:jc w:val="both"/>
                  </w:pPr>
                  <w:r>
                    <w:rPr>
                      <w:rFonts w:ascii="仿宋_GB2312" w:hAnsi="仿宋_GB2312" w:cs="仿宋_GB2312" w:eastAsia="仿宋_GB2312"/>
                      <w:sz w:val="22"/>
                    </w:rPr>
                    <w:t>6、对需对接的其他系统或设备及时响应。</w:t>
                  </w:r>
                </w:p>
                <w:p>
                  <w:pPr>
                    <w:pStyle w:val="null3"/>
                    <w:jc w:val="both"/>
                  </w:pPr>
                  <w:r>
                    <w:rPr>
                      <w:rFonts w:ascii="仿宋_GB2312" w:hAnsi="仿宋_GB2312" w:cs="仿宋_GB2312" w:eastAsia="仿宋_GB2312"/>
                      <w:sz w:val="22"/>
                      <w:b/>
                    </w:rPr>
                    <w:t>服务内容</w:t>
                  </w:r>
                </w:p>
                <w:p>
                  <w:pPr>
                    <w:pStyle w:val="null3"/>
                    <w:jc w:val="both"/>
                  </w:pPr>
                  <w:r>
                    <w:rPr>
                      <w:rFonts w:ascii="仿宋_GB2312" w:hAnsi="仿宋_GB2312" w:cs="仿宋_GB2312" w:eastAsia="仿宋_GB2312"/>
                      <w:sz w:val="22"/>
                    </w:rPr>
                    <w:t>1、负责维护合同中约定的服务项目。</w:t>
                  </w:r>
                </w:p>
                <w:p>
                  <w:pPr>
                    <w:pStyle w:val="null3"/>
                    <w:jc w:val="both"/>
                  </w:pPr>
                  <w:r>
                    <w:rPr>
                      <w:rFonts w:ascii="仿宋_GB2312" w:hAnsi="仿宋_GB2312" w:cs="仿宋_GB2312" w:eastAsia="仿宋_GB2312"/>
                      <w:sz w:val="22"/>
                    </w:rPr>
                    <w:t>2、对甲方提出的请求按时响应。</w:t>
                  </w:r>
                </w:p>
                <w:p>
                  <w:pPr>
                    <w:pStyle w:val="null3"/>
                    <w:jc w:val="both"/>
                  </w:pPr>
                  <w:r>
                    <w:rPr>
                      <w:rFonts w:ascii="仿宋_GB2312" w:hAnsi="仿宋_GB2312" w:cs="仿宋_GB2312" w:eastAsia="仿宋_GB2312"/>
                      <w:sz w:val="22"/>
                    </w:rPr>
                    <w:t>3、响应开始后提出解决方案，积极解决问题。</w:t>
                  </w:r>
                </w:p>
                <w:p>
                  <w:pPr>
                    <w:pStyle w:val="null3"/>
                    <w:jc w:val="both"/>
                  </w:pPr>
                  <w:r>
                    <w:rPr>
                      <w:rFonts w:ascii="仿宋_GB2312" w:hAnsi="仿宋_GB2312" w:cs="仿宋_GB2312" w:eastAsia="仿宋_GB2312"/>
                      <w:sz w:val="22"/>
                    </w:rPr>
                    <w:t>4、提供相应的文档（如解决方案）。</w:t>
                  </w:r>
                </w:p>
                <w:p>
                  <w:pPr>
                    <w:pStyle w:val="null3"/>
                    <w:jc w:val="both"/>
                  </w:pPr>
                  <w:r>
                    <w:rPr>
                      <w:rFonts w:ascii="仿宋_GB2312" w:hAnsi="仿宋_GB2312" w:cs="仿宋_GB2312" w:eastAsia="仿宋_GB2312"/>
                      <w:sz w:val="22"/>
                    </w:rPr>
                    <w:t>5、应当向甲方传授解决技术问题的知识。</w:t>
                  </w:r>
                </w:p>
                <w:p>
                  <w:pPr>
                    <w:pStyle w:val="null3"/>
                    <w:jc w:val="both"/>
                  </w:pPr>
                  <w:r>
                    <w:rPr>
                      <w:rFonts w:ascii="仿宋_GB2312" w:hAnsi="仿宋_GB2312" w:cs="仿宋_GB2312" w:eastAsia="仿宋_GB2312"/>
                      <w:sz w:val="22"/>
                    </w:rPr>
                    <w:t>6、发现甲方提供的技术资料、数据及工作条件不符合约定的，应及时通知甲方补充、修改或更换。</w:t>
                  </w:r>
                </w:p>
                <w:p>
                  <w:pPr>
                    <w:pStyle w:val="null3"/>
                    <w:jc w:val="center"/>
                  </w:pPr>
                  <w:r>
                    <w:rPr>
                      <w:rFonts w:ascii="仿宋_GB2312" w:hAnsi="仿宋_GB2312" w:cs="仿宋_GB2312" w:eastAsia="仿宋_GB2312"/>
                      <w:sz w:val="22"/>
                    </w:rPr>
                    <w:t>7、在工作期间，发现继续工作对设备有损害危险时，应及时甲方或提出建议。</w:t>
                  </w:r>
                </w:p>
              </w:tc>
            </w:tr>
            <w:tr>
              <w:tc>
                <w:tcPr>
                  <w:tcW w:type="dxa" w:w="182"/>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43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软件升级服务</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提供升级补丁</w:t>
                  </w:r>
                </w:p>
              </w:tc>
              <w:tc>
                <w:tcPr>
                  <w:tcW w:type="dxa" w:w="1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同版本内升级补丁包</w:t>
                  </w:r>
                </w:p>
              </w:tc>
            </w:tr>
            <w:tr>
              <w:tc>
                <w:tcPr>
                  <w:tcW w:type="dxa" w:w="182"/>
                  <w:vMerge/>
                  <w:tcBorders>
                    <w:top w:val="none" w:color="000000" w:sz="4"/>
                    <w:left w:val="single" w:color="000000" w:sz="4"/>
                    <w:bottom w:val="none" w:color="000000" w:sz="4"/>
                    <w:right w:val="single" w:color="000000" w:sz="4"/>
                  </w:tcBorders>
                </w:tcPr>
                <w:p/>
              </w:tc>
              <w:tc>
                <w:tcPr>
                  <w:tcW w:type="dxa" w:w="433"/>
                  <w:vMerge/>
                  <w:tcBorders>
                    <w:top w:val="none" w:color="000000" w:sz="4"/>
                    <w:left w:val="none" w:color="000000" w:sz="4"/>
                    <w:bottom w:val="single" w:color="000000" w:sz="4"/>
                    <w:right w:val="single" w:color="000000" w:sz="4"/>
                  </w:tcBorders>
                </w:tcP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产品升级服务</w:t>
                  </w:r>
                </w:p>
              </w:tc>
              <w:tc>
                <w:tcPr>
                  <w:tcW w:type="dxa" w:w="1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人员现场升级保障</w:t>
                  </w:r>
                </w:p>
              </w:tc>
            </w:tr>
            <w:tr>
              <w:tc>
                <w:tcPr>
                  <w:tcW w:type="dxa" w:w="182"/>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43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应用优化服务</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应用优化</w:t>
                  </w:r>
                </w:p>
              </w:tc>
              <w:tc>
                <w:tcPr>
                  <w:tcW w:type="dxa" w:w="1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流程再造咨询及调整</w:t>
                  </w:r>
                </w:p>
              </w:tc>
            </w:tr>
            <w:tr>
              <w:tc>
                <w:tcPr>
                  <w:tcW w:type="dxa" w:w="182"/>
                  <w:vMerge/>
                  <w:tcBorders>
                    <w:top w:val="none" w:color="000000" w:sz="4"/>
                    <w:left w:val="single" w:color="000000" w:sz="4"/>
                    <w:bottom w:val="none" w:color="000000" w:sz="4"/>
                    <w:right w:val="single" w:color="000000" w:sz="4"/>
                  </w:tcBorders>
                </w:tcPr>
                <w:p/>
              </w:tc>
              <w:tc>
                <w:tcPr>
                  <w:tcW w:type="dxa" w:w="433"/>
                  <w:vMerge/>
                  <w:tcBorders>
                    <w:top w:val="none" w:color="000000" w:sz="4"/>
                    <w:left w:val="none" w:color="000000" w:sz="4"/>
                    <w:bottom w:val="single" w:color="000000" w:sz="4"/>
                    <w:right w:val="single" w:color="000000" w:sz="4"/>
                  </w:tcBorders>
                </w:tcP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数据报表服务</w:t>
                  </w:r>
                </w:p>
              </w:tc>
              <w:tc>
                <w:tcPr>
                  <w:tcW w:type="dxa" w:w="1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院内需求报表新增及调试</w:t>
                  </w:r>
                </w:p>
              </w:tc>
            </w:tr>
            <w:tr>
              <w:tc>
                <w:tcPr>
                  <w:tcW w:type="dxa" w:w="182"/>
                  <w:vMerge/>
                  <w:tcBorders>
                    <w:top w:val="none" w:color="000000" w:sz="4"/>
                    <w:left w:val="single" w:color="000000" w:sz="4"/>
                    <w:bottom w:val="none" w:color="000000" w:sz="4"/>
                    <w:right w:val="single" w:color="000000" w:sz="4"/>
                  </w:tcBorders>
                </w:tcPr>
                <w:p/>
              </w:tc>
              <w:tc>
                <w:tcPr>
                  <w:tcW w:type="dxa" w:w="433"/>
                  <w:vMerge/>
                  <w:tcBorders>
                    <w:top w:val="none" w:color="000000" w:sz="4"/>
                    <w:left w:val="none" w:color="000000" w:sz="4"/>
                    <w:bottom w:val="single" w:color="000000" w:sz="4"/>
                    <w:right w:val="single" w:color="000000" w:sz="4"/>
                  </w:tcBorders>
                </w:tcP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接口服务</w:t>
                  </w:r>
                </w:p>
              </w:tc>
              <w:tc>
                <w:tcPr>
                  <w:tcW w:type="dxa" w:w="1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第三方系统接口、政策性接口新增及调试</w:t>
                  </w:r>
                </w:p>
              </w:tc>
            </w:tr>
            <w:tr>
              <w:tc>
                <w:tcPr>
                  <w:tcW w:type="dxa" w:w="182"/>
                  <w:vMerge/>
                  <w:tcBorders>
                    <w:top w:val="none" w:color="000000" w:sz="4"/>
                    <w:left w:val="single" w:color="000000" w:sz="4"/>
                    <w:bottom w:val="none" w:color="000000" w:sz="4"/>
                    <w:right w:val="single" w:color="000000" w:sz="4"/>
                  </w:tcBorders>
                </w:tcPr>
                <w:p/>
              </w:tc>
              <w:tc>
                <w:tcPr>
                  <w:tcW w:type="dxa" w:w="433"/>
                  <w:vMerge/>
                  <w:tcBorders>
                    <w:top w:val="none" w:color="000000" w:sz="4"/>
                    <w:left w:val="none" w:color="000000" w:sz="4"/>
                    <w:bottom w:val="single" w:color="000000" w:sz="4"/>
                    <w:right w:val="single" w:color="000000" w:sz="4"/>
                  </w:tcBorders>
                </w:tcP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检验、检查设备接入</w:t>
                  </w:r>
                </w:p>
              </w:tc>
              <w:tc>
                <w:tcPr>
                  <w:tcW w:type="dxa" w:w="1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新购检验、检查设备的接口</w:t>
                  </w:r>
                </w:p>
              </w:tc>
            </w:tr>
            <w:tr>
              <w:tc>
                <w:tcPr>
                  <w:tcW w:type="dxa" w:w="182"/>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43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服务交付</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技术备勤服务</w:t>
                  </w:r>
                </w:p>
              </w:tc>
              <w:tc>
                <w:tcPr>
                  <w:tcW w:type="dxa" w:w="1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7*24小时</w:t>
                  </w:r>
                </w:p>
              </w:tc>
            </w:tr>
            <w:tr>
              <w:tc>
                <w:tcPr>
                  <w:tcW w:type="dxa" w:w="182"/>
                  <w:vMerge/>
                  <w:tcBorders>
                    <w:top w:val="none" w:color="000000" w:sz="4"/>
                    <w:left w:val="single" w:color="000000" w:sz="4"/>
                    <w:bottom w:val="none" w:color="000000" w:sz="4"/>
                    <w:right w:val="single" w:color="000000" w:sz="4"/>
                  </w:tcBorders>
                </w:tcPr>
                <w:p/>
              </w:tc>
              <w:tc>
                <w:tcPr>
                  <w:tcW w:type="dxa" w:w="433"/>
                  <w:vMerge/>
                  <w:tcBorders>
                    <w:top w:val="none" w:color="000000" w:sz="4"/>
                    <w:left w:val="none" w:color="000000" w:sz="4"/>
                    <w:bottom w:val="single" w:color="000000" w:sz="4"/>
                    <w:right w:val="single" w:color="000000" w:sz="4"/>
                  </w:tcBorders>
                </w:tcP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服务报告</w:t>
                  </w:r>
                </w:p>
              </w:tc>
              <w:tc>
                <w:tcPr>
                  <w:tcW w:type="dxa" w:w="1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提供</w:t>
                  </w:r>
                  <w:r>
                    <w:rPr>
                      <w:rFonts w:ascii="仿宋_GB2312" w:hAnsi="仿宋_GB2312" w:cs="仿宋_GB2312" w:eastAsia="仿宋_GB2312"/>
                      <w:sz w:val="22"/>
                      <w:color w:val="000000"/>
                    </w:rPr>
                    <w:t>2次/年系统运行的服务运维报告，包含但不限于：问题类型分析，整改方向等</w:t>
                  </w:r>
                </w:p>
              </w:tc>
            </w:tr>
            <w:tr>
              <w:tc>
                <w:tcPr>
                  <w:tcW w:type="dxa" w:w="182"/>
                  <w:vMerge/>
                  <w:tcBorders>
                    <w:top w:val="none" w:color="000000" w:sz="4"/>
                    <w:left w:val="single" w:color="000000" w:sz="4"/>
                    <w:bottom w:val="none" w:color="000000" w:sz="4"/>
                    <w:right w:val="single" w:color="000000" w:sz="4"/>
                  </w:tcBorders>
                </w:tcPr>
                <w:p/>
              </w:tc>
              <w:tc>
                <w:tcPr>
                  <w:tcW w:type="dxa" w:w="433"/>
                  <w:vMerge/>
                  <w:tcBorders>
                    <w:top w:val="none" w:color="000000" w:sz="4"/>
                    <w:left w:val="none" w:color="000000" w:sz="4"/>
                    <w:bottom w:val="single" w:color="000000" w:sz="4"/>
                    <w:right w:val="single" w:color="000000" w:sz="4"/>
                  </w:tcBorders>
                </w:tcP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客户服务网站的配备</w:t>
                  </w:r>
                </w:p>
              </w:tc>
              <w:tc>
                <w:tcPr>
                  <w:tcW w:type="dxa" w:w="1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82"/>
                  <w:vMerge/>
                  <w:tcBorders>
                    <w:top w:val="none" w:color="000000" w:sz="4"/>
                    <w:left w:val="single" w:color="000000" w:sz="4"/>
                    <w:bottom w:val="none" w:color="000000" w:sz="4"/>
                    <w:right w:val="single" w:color="000000" w:sz="4"/>
                  </w:tcBorders>
                </w:tcPr>
                <w:p/>
              </w:tc>
              <w:tc>
                <w:tcPr>
                  <w:tcW w:type="dxa" w:w="433"/>
                  <w:vMerge/>
                  <w:tcBorders>
                    <w:top w:val="none" w:color="000000" w:sz="4"/>
                    <w:left w:val="none" w:color="000000" w:sz="4"/>
                    <w:bottom w:val="single" w:color="000000" w:sz="4"/>
                    <w:right w:val="single" w:color="000000" w:sz="4"/>
                  </w:tcBorders>
                </w:tcP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专人专项服务</w:t>
                  </w:r>
                </w:p>
              </w:tc>
              <w:tc>
                <w:tcPr>
                  <w:tcW w:type="dxa" w:w="1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2次/年，全院问题沟通及分享</w:t>
                  </w:r>
                </w:p>
              </w:tc>
            </w:tr>
            <w:tr>
              <w:tc>
                <w:tcPr>
                  <w:tcW w:type="dxa" w:w="182"/>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43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安全保障服务</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巡检服务并优化</w:t>
                  </w:r>
                </w:p>
              </w:tc>
              <w:tc>
                <w:tcPr>
                  <w:tcW w:type="dxa" w:w="1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每季度安排专业人员现场巡检并集中处理已汇总问题，每次驻留时间不低于五个工作日，每阶段问题处理完为准</w:t>
                  </w:r>
                  <w:r>
                    <w:rPr>
                      <w:rFonts w:ascii="仿宋_GB2312" w:hAnsi="仿宋_GB2312" w:cs="仿宋_GB2312" w:eastAsia="仿宋_GB2312"/>
                      <w:sz w:val="22"/>
                      <w:color w:val="000000"/>
                    </w:rPr>
                    <w:t>4次/年</w:t>
                  </w:r>
                </w:p>
              </w:tc>
            </w:tr>
            <w:tr>
              <w:tc>
                <w:tcPr>
                  <w:tcW w:type="dxa" w:w="182"/>
                  <w:vMerge/>
                  <w:tcBorders>
                    <w:top w:val="none" w:color="000000" w:sz="4"/>
                    <w:left w:val="single" w:color="000000" w:sz="4"/>
                    <w:bottom w:val="none" w:color="000000" w:sz="4"/>
                    <w:right w:val="single" w:color="000000" w:sz="4"/>
                  </w:tcBorders>
                </w:tcPr>
                <w:p/>
              </w:tc>
              <w:tc>
                <w:tcPr>
                  <w:tcW w:type="dxa" w:w="433"/>
                  <w:vMerge/>
                  <w:tcBorders>
                    <w:top w:val="none" w:color="000000" w:sz="4"/>
                    <w:left w:val="none" w:color="000000" w:sz="4"/>
                    <w:bottom w:val="single" w:color="000000" w:sz="4"/>
                    <w:right w:val="single" w:color="000000" w:sz="4"/>
                  </w:tcBorders>
                </w:tcP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数据库故障恢复服务</w:t>
                  </w:r>
                </w:p>
              </w:tc>
              <w:tc>
                <w:tcPr>
                  <w:tcW w:type="dxa" w:w="1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按需</w:t>
                  </w:r>
                </w:p>
              </w:tc>
            </w:tr>
            <w:tr>
              <w:tc>
                <w:tcPr>
                  <w:tcW w:type="dxa" w:w="182"/>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433"/>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咨询服务</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知识共享服务</w:t>
                  </w:r>
                </w:p>
              </w:tc>
              <w:tc>
                <w:tcPr>
                  <w:tcW w:type="dxa" w:w="1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技术知识库分享；新政策及行业标准的信息共享</w:t>
                  </w:r>
                </w:p>
              </w:tc>
            </w:tr>
            <w:tr>
              <w:tc>
                <w:tcPr>
                  <w:tcW w:type="dxa" w:w="182"/>
                  <w:vMerge/>
                  <w:tcBorders>
                    <w:top w:val="none" w:color="000000" w:sz="4"/>
                    <w:left w:val="single" w:color="000000" w:sz="4"/>
                    <w:bottom w:val="none" w:color="000000" w:sz="4"/>
                    <w:right w:val="single" w:color="000000" w:sz="4"/>
                  </w:tcBorders>
                </w:tcPr>
                <w:p/>
              </w:tc>
              <w:tc>
                <w:tcPr>
                  <w:tcW w:type="dxa" w:w="433"/>
                  <w:vMerge/>
                  <w:tcBorders>
                    <w:top w:val="none" w:color="000000" w:sz="4"/>
                    <w:left w:val="none" w:color="000000" w:sz="4"/>
                    <w:bottom w:val="none" w:color="000000" w:sz="4"/>
                    <w:right w:val="single" w:color="000000" w:sz="4"/>
                  </w:tcBorders>
                </w:tcP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国家政策咨询及评级辅助服务</w:t>
                  </w:r>
                </w:p>
              </w:tc>
              <w:tc>
                <w:tcPr>
                  <w:tcW w:type="dxa" w:w="1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国家政策解读、国家政策类测评（互联互通评级、电子病历评级、智慧服务评级、智慧管理评级）等辅助测评</w:t>
                  </w:r>
                </w:p>
              </w:tc>
            </w:tr>
          </w:tbl>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12个月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陕西省汉中市城固县中医医院</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服务满一年后支付</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15.00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服务内容及服务邀请应答表 残疾人福利性单位声明函 中小企业声明函 商务应答表 服务方案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供应商应具有独立承担民事责任的能力且具备向采购人提供相关服务的企业法人，其他组织或者自然人，企业法人应提供统一社会信用代码的营业执照:其他组织应提供合法证明文件;自然人应提供身份证明文件</w:t>
            </w:r>
          </w:p>
        </w:tc>
        <w:tc>
          <w:tcPr>
            <w:tcW w:type="dxa" w:w="3322"/>
          </w:tcPr>
          <w:p>
            <w:pPr>
              <w:pStyle w:val="null3"/>
            </w:pPr>
            <w:r>
              <w:rPr>
                <w:rFonts w:ascii="仿宋_GB2312" w:hAnsi="仿宋_GB2312" w:cs="仿宋_GB2312" w:eastAsia="仿宋_GB2312"/>
              </w:rPr>
              <w:t>提供合格有效的法人或者其他组织的营业执照、事业单位法人证等证明文件或自然人的身份证明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法定代表人直接参加磋商的，须出具法人身份证(附法定代表人身份证复印件);法定代表人授权代表参加磋商的，须出具法定代表人授权书及授权代表身份证(附法走代表人身份证复印件及被授权人身份证复印件)</w:t>
            </w:r>
          </w:p>
        </w:tc>
        <w:tc>
          <w:tcPr>
            <w:tcW w:type="dxa" w:w="3322"/>
          </w:tcPr>
          <w:p>
            <w:pPr>
              <w:pStyle w:val="null3"/>
            </w:pPr>
            <w:r>
              <w:rPr>
                <w:rFonts w:ascii="仿宋_GB2312" w:hAnsi="仿宋_GB2312" w:cs="仿宋_GB2312" w:eastAsia="仿宋_GB2312"/>
              </w:rPr>
              <w:t>法定代表人直接参加磋商的，须出具法人身份证(附法定代表人身份证复印件);法定代表人授权代表参加磋商的，须出具法定代表人授权书及授权代表身份证(附法走代表人身份证复印件及被授权人身份证复印件)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金的良好记录，以及参与本项目采购活动前三年内在经营活动中无重大违法活动记录，供应商提供《汉中市政府采购供应商资格承诺函》</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金的良好记录，以及参与本项目采购活动前三年内在经营活动中无重大违法活动记录，供应商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本项目不接受联合体磋商，供应商应提供《非联合体声明》</w:t>
            </w:r>
          </w:p>
        </w:tc>
        <w:tc>
          <w:tcPr>
            <w:tcW w:type="dxa" w:w="3322"/>
          </w:tcPr>
          <w:p>
            <w:pPr>
              <w:pStyle w:val="null3"/>
            </w:pPr>
            <w:r>
              <w:rPr>
                <w:rFonts w:ascii="仿宋_GB2312" w:hAnsi="仿宋_GB2312" w:cs="仿宋_GB2312" w:eastAsia="仿宋_GB2312"/>
              </w:rPr>
              <w:t>供应商应提供《非联合体声明》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