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版本号：HC2025CG05520251128001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城固县综合监督执法大队智慧卫监服务项目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HC2025CG055</w:t>
      </w:r>
      <w:r>
        <w:br/>
      </w:r>
      <w:r>
        <w:br/>
      </w:r>
      <w:r>
        <w:br/>
      </w:r>
      <w:r>
        <w:br/>
      </w:r>
      <w:r>
        <w:br/>
      </w:r>
    </w:p>
    <w:p>
      <w:pPr>
        <w:pStyle w:val="null3"/>
        <w:jc w:val="center"/>
        <w:outlineLvl w:val="5"/>
      </w:pPr>
      <w:r>
        <w:rPr>
          <w:rFonts w:ascii="仿宋_GB2312" w:hAnsi="仿宋_GB2312" w:cs="仿宋_GB2312" w:eastAsia="仿宋_GB2312"/>
          <w:sz w:val="15"/>
          <w:b/>
        </w:rPr>
        <w:t>城固县卫生计生综合监督执法大队</w:t>
      </w:r>
    </w:p>
    <w:p>
      <w:pPr>
        <w:pStyle w:val="null3"/>
        <w:jc w:val="center"/>
        <w:outlineLvl w:val="5"/>
      </w:pPr>
      <w:r>
        <w:rPr>
          <w:rFonts w:ascii="仿宋_GB2312" w:hAnsi="仿宋_GB2312" w:cs="仿宋_GB2312" w:eastAsia="仿宋_GB2312"/>
          <w:sz w:val="15"/>
          <w:b/>
        </w:rPr>
        <w:t>陕西华城建设项目管理有限公司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陕西华城建设项目管理有限公司</w:t>
      </w:r>
      <w:r>
        <w:rPr>
          <w:rFonts w:ascii="仿宋_GB2312" w:hAnsi="仿宋_GB2312" w:cs="仿宋_GB2312" w:eastAsia="仿宋_GB2312"/>
        </w:rPr>
        <w:t>（以下简称“代理机构”）受</w:t>
      </w:r>
      <w:r>
        <w:rPr>
          <w:rFonts w:ascii="仿宋_GB2312" w:hAnsi="仿宋_GB2312" w:cs="仿宋_GB2312" w:eastAsia="仿宋_GB2312"/>
        </w:rPr>
        <w:t>城固县卫生计生综合监督执法大队</w:t>
      </w:r>
      <w:r>
        <w:rPr>
          <w:rFonts w:ascii="仿宋_GB2312" w:hAnsi="仿宋_GB2312" w:cs="仿宋_GB2312" w:eastAsia="仿宋_GB2312"/>
        </w:rPr>
        <w:t>委托，拟对</w:t>
      </w:r>
      <w:r>
        <w:rPr>
          <w:rFonts w:ascii="仿宋_GB2312" w:hAnsi="仿宋_GB2312" w:cs="仿宋_GB2312" w:eastAsia="仿宋_GB2312"/>
        </w:rPr>
        <w:t>城固县综合监督执法大队智慧卫监服务项目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HC2025CG055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城固县综合监督执法大队智慧卫监服务项目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为满足卫生监督定制执法手持终端要求，用于日常执法行为数据上报。</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1、独立承担民事责任能力的法人、其他组织或自然人：须具有独立承担民事责任能力的法人、其他组织或自然人，并出具合法有效的营业执照等国家规定 的相关证明，自然人参与的提供其身份证明</w:t>
      </w:r>
    </w:p>
    <w:p>
      <w:pPr>
        <w:pStyle w:val="null3"/>
      </w:pPr>
      <w:r>
        <w:rPr>
          <w:rFonts w:ascii="仿宋_GB2312" w:hAnsi="仿宋_GB2312" w:cs="仿宋_GB2312" w:eastAsia="仿宋_GB2312"/>
        </w:rPr>
        <w:t>2、法定代表人授权书原件及被授权人身份证复印件：法定代表人授权书原件及被授权人身份证复印件（法定代表人直接参加投标只须提供法定代表人身 份证明原件）</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 有依法缴纳税收和社会保障金的良好记录，参加本项目采购活动前三年内无重大违法活动记录，未 列入在信用中国网站“失信被执行人”、重大税收违法案件当事人名单”中，也未列入中国政府采购网“政府采购严重违法失信行为记录名单”中。须提供《汉中市政府采购供应商资格承诺函》原件；</w:t>
      </w:r>
    </w:p>
    <w:p>
      <w:pPr>
        <w:pStyle w:val="null3"/>
      </w:pPr>
      <w:r>
        <w:rPr>
          <w:rFonts w:ascii="仿宋_GB2312" w:hAnsi="仿宋_GB2312" w:cs="仿宋_GB2312" w:eastAsia="仿宋_GB2312"/>
        </w:rPr>
        <w:t>4、非联合体响应：本次采购不接受联合体响应</w:t>
      </w:r>
    </w:p>
    <w:p>
      <w:pPr>
        <w:pStyle w:val="null3"/>
      </w:pPr>
      <w:r>
        <w:rPr>
          <w:rFonts w:ascii="仿宋_GB2312" w:hAnsi="仿宋_GB2312" w:cs="仿宋_GB2312" w:eastAsia="仿宋_GB2312"/>
        </w:rPr>
        <w:t>5、单位负责人为同一人或者存在直接控股、管理关系的不同供应商，不得参加同一合同项下的政府采购活动：单位负责人为同一人或者存在直接控股、管理关系的不同供应商，不得参加同一合同项下的政府采购活动</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城固县卫生计生综合监督执法大队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城固县西环一路中段84号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城固县卫生计生综合监督执法大队经办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18191160868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陕西省汉中市汉台区天汉大道钟楼十字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15289267453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开户名称：陕西华城建设项目管理有限公司</w:t>
            </w:r>
          </w:p>
          <w:p>
            <w:pPr>
              <w:pStyle w:val="null3"/>
            </w:pPr>
            <w:r>
              <w:rPr>
                <w:rFonts w:ascii="仿宋_GB2312" w:hAnsi="仿宋_GB2312" w:cs="仿宋_GB2312" w:eastAsia="仿宋_GB2312"/>
              </w:rPr>
              <w:t>开户银行：中国工商银行汉中市中山街支行</w:t>
            </w:r>
          </w:p>
          <w:p>
            <w:pPr>
              <w:pStyle w:val="null3"/>
            </w:pPr>
            <w:r>
              <w:rPr>
                <w:rFonts w:ascii="仿宋_GB2312" w:hAnsi="仿宋_GB2312" w:cs="仿宋_GB2312" w:eastAsia="仿宋_GB2312"/>
              </w:rPr>
              <w:t>银行账号：2606050209245102397</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代理服务费收费标准：代理服务费收取标准按照《招标代理服务收费管理暂行办法》计价格[2002]1980号文和发改价格[2011]534号文标准计取，由成交人在领取成交通知书前向代理机构支付</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城固县卫生计生综合监督执法大队</w:t>
      </w:r>
      <w:r>
        <w:rPr>
          <w:rFonts w:ascii="仿宋_GB2312" w:hAnsi="仿宋_GB2312" w:cs="仿宋_GB2312" w:eastAsia="仿宋_GB2312"/>
        </w:rPr>
        <w:t>和</w:t>
      </w:r>
      <w:r>
        <w:rPr>
          <w:rFonts w:ascii="仿宋_GB2312" w:hAnsi="仿宋_GB2312" w:cs="仿宋_GB2312" w:eastAsia="仿宋_GB2312"/>
        </w:rPr>
        <w:t>陕西华城建设项目管理有限公司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陕西华城建设项目管理有限公司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城固县卫生计生综合监督执法大队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陕西华城建设项目管理有限公司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为满足卫生监督定制执法手持终端要求，用于日常执法行为数据上报。</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卫生计生综合监督执法大队智慧卫监服务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标的名称：卫生计生综合监督执法大队智慧卫监服务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卫生监督定制执法手持机终端参数 </w:t>
            </w:r>
            <w:r>
              <w:br/>
            </w:r>
            <w:r>
              <w:rPr>
                <w:rFonts w:ascii="仿宋_GB2312" w:hAnsi="仿宋_GB2312" w:cs="仿宋_GB2312" w:eastAsia="仿宋_GB2312"/>
              </w:rPr>
              <w:t xml:space="preserve"> 屏幕尺寸：6.6英寸</w:t>
            </w:r>
            <w:r>
              <w:br/>
            </w:r>
            <w:r>
              <w:rPr>
                <w:rFonts w:ascii="仿宋_GB2312" w:hAnsi="仿宋_GB2312" w:cs="仿宋_GB2312" w:eastAsia="仿宋_GB2312"/>
              </w:rPr>
              <w:t xml:space="preserve"> 屏幕刷新率：120Hz</w:t>
            </w:r>
            <w:r>
              <w:br/>
            </w:r>
            <w:r>
              <w:rPr>
                <w:rFonts w:ascii="仿宋_GB2312" w:hAnsi="仿宋_GB2312" w:cs="仿宋_GB2312" w:eastAsia="仿宋_GB2312"/>
              </w:rPr>
              <w:t xml:space="preserve"> 屏幕特色：昆仑玻璃 SGS认证 LTPO屏幕 高频PWM调光</w:t>
            </w:r>
            <w:r>
              <w:br/>
            </w:r>
            <w:r>
              <w:rPr>
                <w:rFonts w:ascii="仿宋_GB2312" w:hAnsi="仿宋_GB2312" w:cs="仿宋_GB2312" w:eastAsia="仿宋_GB2312"/>
              </w:rPr>
              <w:t xml:space="preserve"> ★系统：卫生监督行业移动操作系统[简称:mOSV4.0]，终端应用及数据安全保障服务，适配国家卫生健康监督信息平台及陕西省卫生健康监督综合管理平台系统，硬件质保1年，软件系统质保5年。</w:t>
            </w:r>
            <w:r>
              <w:br/>
            </w:r>
            <w:r>
              <w:rPr>
                <w:rFonts w:ascii="仿宋_GB2312" w:hAnsi="仿宋_GB2312" w:cs="仿宋_GB2312" w:eastAsia="仿宋_GB2312"/>
              </w:rPr>
              <w:t xml:space="preserve"> SIM卡数量：2个</w:t>
            </w:r>
            <w:r>
              <w:br/>
            </w:r>
            <w:r>
              <w:rPr>
                <w:rFonts w:ascii="仿宋_GB2312" w:hAnsi="仿宋_GB2312" w:cs="仿宋_GB2312" w:eastAsia="仿宋_GB2312"/>
              </w:rPr>
              <w:t xml:space="preserve"> 5G网络 4G网络 4G TD-LTE 4G FDD-LTE</w:t>
            </w:r>
            <w:r>
              <w:br/>
            </w:r>
            <w:r>
              <w:rPr>
                <w:rFonts w:ascii="仿宋_GB2312" w:hAnsi="仿宋_GB2312" w:cs="仿宋_GB2312" w:eastAsia="仿宋_GB2312"/>
              </w:rPr>
              <w:t xml:space="preserve"> 无线充电：50W</w:t>
            </w:r>
            <w:r>
              <w:br/>
            </w:r>
            <w:r>
              <w:rPr>
                <w:rFonts w:ascii="仿宋_GB2312" w:hAnsi="仿宋_GB2312" w:cs="仿宋_GB2312" w:eastAsia="仿宋_GB2312"/>
              </w:rPr>
              <w:t xml:space="preserve"> 充电功率：66W</w:t>
            </w:r>
            <w:r>
              <w:br/>
            </w:r>
            <w:r>
              <w:rPr>
                <w:rFonts w:ascii="仿宋_GB2312" w:hAnsi="仿宋_GB2312" w:cs="仿宋_GB2312" w:eastAsia="仿宋_GB2312"/>
              </w:rPr>
              <w:t xml:space="preserve"> 充电接口：USB Type-C</w:t>
            </w:r>
            <w:r>
              <w:br/>
            </w:r>
            <w:r>
              <w:rPr>
                <w:rFonts w:ascii="仿宋_GB2312" w:hAnsi="仿宋_GB2312" w:cs="仿宋_GB2312" w:eastAsia="仿宋_GB2312"/>
              </w:rPr>
              <w:t xml:space="preserve"> 生物识别：人脸识别 屏幕指纹</w:t>
            </w:r>
            <w:r>
              <w:br/>
            </w:r>
            <w:r>
              <w:rPr>
                <w:rFonts w:ascii="仿宋_GB2312" w:hAnsi="仿宋_GB2312" w:cs="仿宋_GB2312" w:eastAsia="仿宋_GB2312"/>
              </w:rPr>
              <w:t xml:space="preserve"> 前摄主像素：1300万像素</w:t>
            </w:r>
            <w:r>
              <w:br/>
            </w:r>
            <w:r>
              <w:rPr>
                <w:rFonts w:ascii="仿宋_GB2312" w:hAnsi="仿宋_GB2312" w:cs="仿宋_GB2312" w:eastAsia="仿宋_GB2312"/>
              </w:rPr>
              <w:t xml:space="preserve"> 后摄主像素：5000万像素</w:t>
            </w:r>
            <w:r>
              <w:br/>
            </w:r>
            <w:r>
              <w:rPr>
                <w:rFonts w:ascii="仿宋_GB2312" w:hAnsi="仿宋_GB2312" w:cs="仿宋_GB2312" w:eastAsia="仿宋_GB2312"/>
              </w:rPr>
              <w:t xml:space="preserve"> CPU型号</w:t>
            </w:r>
            <w:r>
              <w:br/>
            </w:r>
            <w:r>
              <w:rPr>
                <w:rFonts w:ascii="仿宋_GB2312" w:hAnsi="仿宋_GB2312" w:cs="仿宋_GB2312" w:eastAsia="仿宋_GB2312"/>
              </w:rPr>
              <w:t xml:space="preserve"> 麒麟9010</w:t>
            </w:r>
            <w:r>
              <w:br/>
            </w:r>
            <w:r>
              <w:rPr>
                <w:rFonts w:ascii="仿宋_GB2312" w:hAnsi="仿宋_GB2312" w:cs="仿宋_GB2312" w:eastAsia="仿宋_GB2312"/>
              </w:rPr>
              <w:t xml:space="preserve"> 纯国产硬件及CPU北斗卫星定位</w:t>
            </w:r>
            <w:r>
              <w:br/>
            </w:r>
            <w:r>
              <w:rPr>
                <w:rFonts w:ascii="仿宋_GB2312" w:hAnsi="仿宋_GB2312" w:cs="仿宋_GB2312" w:eastAsia="仿宋_GB2312"/>
              </w:rPr>
              <w:t xml:space="preserve"> 屏幕分辨率</w:t>
            </w:r>
            <w:r>
              <w:br/>
            </w:r>
            <w:r>
              <w:rPr>
                <w:rFonts w:ascii="仿宋_GB2312" w:hAnsi="仿宋_GB2312" w:cs="仿宋_GB2312" w:eastAsia="仿宋_GB2312"/>
              </w:rPr>
              <w:t xml:space="preserve"> FHD+</w:t>
            </w:r>
            <w:r>
              <w:br/>
            </w:r>
            <w:r>
              <w:rPr>
                <w:rFonts w:ascii="仿宋_GB2312" w:hAnsi="仿宋_GB2312" w:cs="仿宋_GB2312" w:eastAsia="仿宋_GB2312"/>
              </w:rPr>
              <w:t xml:space="preserve"> 三防标准</w:t>
            </w:r>
            <w:r>
              <w:br/>
            </w:r>
            <w:r>
              <w:rPr>
                <w:rFonts w:ascii="仿宋_GB2312" w:hAnsi="仿宋_GB2312" w:cs="仿宋_GB2312" w:eastAsia="仿宋_GB2312"/>
              </w:rPr>
              <w:t xml:space="preserve"> IP68</w:t>
            </w:r>
            <w:r>
              <w:br/>
            </w:r>
            <w:r>
              <w:rPr>
                <w:rFonts w:ascii="仿宋_GB2312" w:hAnsi="仿宋_GB2312" w:cs="仿宋_GB2312" w:eastAsia="仿宋_GB2312"/>
              </w:rPr>
              <w:t xml:space="preserve"> 屏幕材质</w:t>
            </w:r>
            <w:r>
              <w:br/>
            </w:r>
            <w:r>
              <w:rPr>
                <w:rFonts w:ascii="仿宋_GB2312" w:hAnsi="仿宋_GB2312" w:cs="仿宋_GB2312" w:eastAsia="仿宋_GB2312"/>
              </w:rPr>
              <w:t xml:space="preserve"> OLED直屏</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验收合格后（以财政资金到位情况为准）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交付标准和方法：依据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以最终签订的合同内容执行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资格证明文件格式1.docx 供应商应提交的相关资格证明材料 汉中市政府采购供应商资格承诺函.docx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独立承担民事责任能力的法人、其他组织或自然人</w:t>
            </w:r>
          </w:p>
        </w:tc>
        <w:tc>
          <w:tcPr>
            <w:tcW w:type="dxa" w:w="3322"/>
          </w:tcPr>
          <w:p>
            <w:pPr>
              <w:pStyle w:val="null3"/>
            </w:pPr>
            <w:r>
              <w:rPr>
                <w:rFonts w:ascii="仿宋_GB2312" w:hAnsi="仿宋_GB2312" w:cs="仿宋_GB2312" w:eastAsia="仿宋_GB2312"/>
              </w:rPr>
              <w:t>须具有独立承担民事责任能力的法人、其他组织或自然人，并出具合法有效的营业执照等国家规定 的相关证明，自然人参与的提供其身份证明</w:t>
            </w:r>
          </w:p>
        </w:tc>
        <w:tc>
          <w:tcPr>
            <w:tcW w:type="dxa" w:w="1661"/>
          </w:tcPr>
          <w:p>
            <w:pPr>
              <w:pStyle w:val="null3"/>
            </w:pPr>
            <w:r>
              <w:rPr>
                <w:rFonts w:ascii="仿宋_GB2312" w:hAnsi="仿宋_GB2312" w:cs="仿宋_GB2312" w:eastAsia="仿宋_GB2312"/>
              </w:rPr>
              <w:t>资格证明文件格式1.docx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法定代表人授权书原件及被授权人身份证复印件</w:t>
            </w:r>
          </w:p>
        </w:tc>
        <w:tc>
          <w:tcPr>
            <w:tcW w:type="dxa" w:w="3322"/>
          </w:tcPr>
          <w:p>
            <w:pPr>
              <w:pStyle w:val="null3"/>
            </w:pPr>
            <w:r>
              <w:rPr>
                <w:rFonts w:ascii="仿宋_GB2312" w:hAnsi="仿宋_GB2312" w:cs="仿宋_GB2312" w:eastAsia="仿宋_GB2312"/>
              </w:rPr>
              <w:t>法定代表人授权书原件及被授权人身份证复印件（法定代表人直接参加投标只须提供法定代表人身 份证明原件）</w:t>
            </w:r>
          </w:p>
        </w:tc>
        <w:tc>
          <w:tcPr>
            <w:tcW w:type="dxa" w:w="1661"/>
          </w:tcPr>
          <w:p>
            <w:pPr>
              <w:pStyle w:val="null3"/>
            </w:pPr>
            <w:r>
              <w:rPr>
                <w:rFonts w:ascii="仿宋_GB2312" w:hAnsi="仿宋_GB2312" w:cs="仿宋_GB2312" w:eastAsia="仿宋_GB2312"/>
              </w:rPr>
              <w:t>资格证明文件格式1.docx 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 有依法缴纳税收和社会保障金的良好记录，参加本项目采购活动前三年内无重大违法活动记录，未 列入在信用中国网站“失信被执行人”、重大税收违法案件当事人名单”中，也未列入中国政府采购网“政府采购严重违法失信行为记录名单”中。须提供《汉中市政府采购供应商资格承诺函》原件；</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非联合体响应</w:t>
            </w:r>
          </w:p>
        </w:tc>
        <w:tc>
          <w:tcPr>
            <w:tcW w:type="dxa" w:w="3322"/>
          </w:tcPr>
          <w:p>
            <w:pPr>
              <w:pStyle w:val="null3"/>
            </w:pPr>
            <w:r>
              <w:rPr>
                <w:rFonts w:ascii="仿宋_GB2312" w:hAnsi="仿宋_GB2312" w:cs="仿宋_GB2312" w:eastAsia="仿宋_GB2312"/>
              </w:rPr>
              <w:t>本次采购不接受联合体响应</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资格证明文件格式1.docx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资格证明文件格式1.docx 产品技术参数表 中小企业声明函 残疾人福利性单位声明函 商务应答表 供应商应提交的相关资格证明材料 标的清单 报价表 响应函 汉中市政府采购供应商资格承诺函.docx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资格证明文件格式1.docx 产品技术参数表 中小企业声明函 残疾人福利性单位声明函 商务应答表 供应商应提交的相关资格证明材料 标的清单 报价表 响应函 汉中市政府采购供应商资格承诺函.docx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详见附件：资格证明文件格式1.docx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