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版本号：ZFCG-2025052920251219001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城固县2025年中央财政农业相关转移支付资金（扩种油菜）项目肥料采购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ZFCG-20250529</w:t>
      </w:r>
      <w:r>
        <w:br/>
      </w:r>
      <w:r>
        <w:br/>
      </w:r>
      <w:r>
        <w:br/>
      </w:r>
    </w:p>
    <w:p>
      <w:pPr>
        <w:pStyle w:val="null3"/>
        <w:jc w:val="center"/>
        <w:outlineLvl w:val="2"/>
      </w:pPr>
      <w:r>
        <w:rPr>
          <w:rFonts w:ascii="仿宋_GB2312" w:hAnsi="仿宋_GB2312" w:cs="仿宋_GB2312" w:eastAsia="仿宋_GB2312"/>
          <w:sz w:val="28"/>
          <w:b/>
        </w:rPr>
        <w:t>城固县农技中心</w:t>
      </w:r>
    </w:p>
    <w:p>
      <w:pPr>
        <w:pStyle w:val="null3"/>
        <w:jc w:val="center"/>
        <w:outlineLvl w:val="2"/>
      </w:pPr>
      <w:r>
        <w:rPr>
          <w:rFonts w:ascii="仿宋_GB2312" w:hAnsi="仿宋_GB2312" w:cs="仿宋_GB2312" w:eastAsia="仿宋_GB2312"/>
          <w:sz w:val="28"/>
          <w:b/>
        </w:rPr>
        <w:t>中科融创（陕西）项目咨询有限公司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中科融创（陕西）项目咨询有限公司</w:t>
      </w:r>
      <w:r>
        <w:rPr>
          <w:rFonts w:ascii="仿宋_GB2312" w:hAnsi="仿宋_GB2312" w:cs="仿宋_GB2312" w:eastAsia="仿宋_GB2312"/>
        </w:rPr>
        <w:t>（以下简称“代理机构”）受</w:t>
      </w:r>
      <w:r>
        <w:rPr>
          <w:rFonts w:ascii="仿宋_GB2312" w:hAnsi="仿宋_GB2312" w:cs="仿宋_GB2312" w:eastAsia="仿宋_GB2312"/>
        </w:rPr>
        <w:t>城固县农技中心</w:t>
      </w:r>
      <w:r>
        <w:rPr>
          <w:rFonts w:ascii="仿宋_GB2312" w:hAnsi="仿宋_GB2312" w:cs="仿宋_GB2312" w:eastAsia="仿宋_GB2312"/>
        </w:rPr>
        <w:t>委托，拟对</w:t>
      </w:r>
      <w:r>
        <w:rPr>
          <w:rFonts w:ascii="仿宋_GB2312" w:hAnsi="仿宋_GB2312" w:cs="仿宋_GB2312" w:eastAsia="仿宋_GB2312"/>
        </w:rPr>
        <w:t>城固县2025年中央财政农业相关转移支付资金（扩种油菜）项目肥料采购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ZFCG-20250529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城固县2025年中央财政农业相关转移支付资金（扩种油菜）项目肥料采购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采购肥料一批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采购包1（城固县2025年中央财政农业相关转移支付资金(扩种油菜)项目肥料采购）：属于专门面向小微企业采购。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1、营业执照：供应商应是合法注册的法人或其他组织,并出具营业执照；</w:t>
      </w:r>
    </w:p>
    <w:p>
      <w:pPr>
        <w:pStyle w:val="null3"/>
      </w:pPr>
      <w:r>
        <w:rPr>
          <w:rFonts w:ascii="仿宋_GB2312" w:hAnsi="仿宋_GB2312" w:cs="仿宋_GB2312" w:eastAsia="仿宋_GB2312"/>
        </w:rPr>
        <w:t>2、法定代表人授权书：法人代表证明书或法人授权委托书，后附法人及被委托人身份证（法定代表人直接参加投标的只需提供法定代表人身份证）；</w:t>
      </w:r>
    </w:p>
    <w:p>
      <w:pPr>
        <w:pStyle w:val="null3"/>
      </w:pPr>
      <w:r>
        <w:rPr>
          <w:rFonts w:ascii="仿宋_GB2312" w:hAnsi="仿宋_GB2312" w:cs="仿宋_GB2312" w:eastAsia="仿宋_GB2312"/>
        </w:rPr>
        <w:t>3、供应商资质：供应商如为生产厂商应具备《肥料生产许可证》，如为经销商须提供产品的来源渠道合法的证明文件（包括但不限于销售协议、代理协议、原厂授权等）及生产厂家相关证件的复印件加盖公章;</w:t>
      </w:r>
    </w:p>
    <w:p>
      <w:pPr>
        <w:pStyle w:val="null3"/>
      </w:pPr>
      <w:r>
        <w:rPr>
          <w:rFonts w:ascii="仿宋_GB2312" w:hAnsi="仿宋_GB2312" w:cs="仿宋_GB2312" w:eastAsia="仿宋_GB2312"/>
        </w:rPr>
        <w:t>4、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pPr>
      <w:r>
        <w:rPr>
          <w:rFonts w:ascii="仿宋_GB2312" w:hAnsi="仿宋_GB2312" w:cs="仿宋_GB2312" w:eastAsia="仿宋_GB2312"/>
        </w:rPr>
        <w:t>5、中小企业声明函：本项目专门面向中小企业，供应商须提供《中小企业声明函》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城固县农技中心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城固县文化路西段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13891634065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中科融创（陕西）项目咨询有限公司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陕西省汉中市汉台区滨江西路天汉文化公园E区4号楼120、121、128b</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粟星玉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0916-8830226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开户名称：中科融创(陕西)项目咨询有限公司</w:t>
            </w:r>
          </w:p>
          <w:p>
            <w:pPr>
              <w:pStyle w:val="null3"/>
            </w:pPr>
            <w:r>
              <w:rPr>
                <w:rFonts w:ascii="仿宋_GB2312" w:hAnsi="仿宋_GB2312" w:cs="仿宋_GB2312" w:eastAsia="仿宋_GB2312"/>
              </w:rPr>
              <w:t>开户银行：中国银行股份有限公司汉中劳动西路支行</w:t>
            </w:r>
          </w:p>
          <w:p>
            <w:pPr>
              <w:pStyle w:val="null3"/>
            </w:pPr>
            <w:r>
              <w:rPr>
                <w:rFonts w:ascii="仿宋_GB2312" w:hAnsi="仿宋_GB2312" w:cs="仿宋_GB2312" w:eastAsia="仿宋_GB2312"/>
              </w:rPr>
              <w:t>银行账号：102504125152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号）规定的费率标准计算招标代理服务费，不足伍仟元时按伍仟元计取。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城固县农技中心</w:t>
      </w:r>
      <w:r>
        <w:rPr>
          <w:rFonts w:ascii="仿宋_GB2312" w:hAnsi="仿宋_GB2312" w:cs="仿宋_GB2312" w:eastAsia="仿宋_GB2312"/>
        </w:rPr>
        <w:t>和</w:t>
      </w:r>
      <w:r>
        <w:rPr>
          <w:rFonts w:ascii="仿宋_GB2312" w:hAnsi="仿宋_GB2312" w:cs="仿宋_GB2312" w:eastAsia="仿宋_GB2312"/>
        </w:rPr>
        <w:t>中科融创（陕西）项目咨询有限公司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城固县农技中心</w:t>
      </w:r>
      <w:r>
        <w:rPr>
          <w:rFonts w:ascii="仿宋_GB2312" w:hAnsi="仿宋_GB2312" w:cs="仿宋_GB2312" w:eastAsia="仿宋_GB2312"/>
        </w:rPr>
        <w:t>负责解释。除上述招标文件内容，其他内容由</w:t>
      </w:r>
      <w:r>
        <w:rPr>
          <w:rFonts w:ascii="仿宋_GB2312" w:hAnsi="仿宋_GB2312" w:cs="仿宋_GB2312" w:eastAsia="仿宋_GB2312"/>
        </w:rPr>
        <w:t>中科融创（陕西）项目咨询有限公司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城固县农技中心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中科融创（陕西）项目咨询有限公司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联系人：粟星玉</w:t>
      </w:r>
    </w:p>
    <w:p>
      <w:pPr>
        <w:pStyle w:val="null3"/>
      </w:pPr>
      <w:r>
        <w:rPr>
          <w:rFonts w:ascii="仿宋_GB2312" w:hAnsi="仿宋_GB2312" w:cs="仿宋_GB2312" w:eastAsia="仿宋_GB2312"/>
        </w:rPr>
        <w:t>联系电话：09168830226</w:t>
      </w:r>
    </w:p>
    <w:p>
      <w:pPr>
        <w:pStyle w:val="null3"/>
      </w:pPr>
      <w:r>
        <w:rPr>
          <w:rFonts w:ascii="仿宋_GB2312" w:hAnsi="仿宋_GB2312" w:cs="仿宋_GB2312" w:eastAsia="仿宋_GB2312"/>
        </w:rPr>
        <w:t>地址：陕西省汉中市汉台区滨江西路天汉文化公园E区4号楼120、121、128b</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采购肥料一批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硫酸钾型45%三元素复合肥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标的名称：硫酸钾型45%三元素复合肥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2"/>
                <w:color w:val="333333"/>
              </w:rPr>
              <w:t>硫酸钾型</w:t>
            </w:r>
            <w:r>
              <w:rPr>
                <w:rFonts w:ascii="仿宋_GB2312" w:hAnsi="仿宋_GB2312" w:cs="仿宋_GB2312" w:eastAsia="仿宋_GB2312"/>
                <w:sz w:val="32"/>
                <w:color w:val="333333"/>
              </w:rPr>
              <w:t>45%三元素 复合肥</w:t>
            </w:r>
          </w:p>
          <w:p>
            <w:pPr>
              <w:pStyle w:val="null3"/>
              <w:jc w:val="left"/>
            </w:pPr>
            <w:r>
              <w:rPr>
                <w:rFonts w:ascii="仿宋_GB2312" w:hAnsi="仿宋_GB2312" w:cs="仿宋_GB2312" w:eastAsia="仿宋_GB2312"/>
                <w:sz w:val="32"/>
                <w:color w:val="333333"/>
              </w:rPr>
              <w:t>参数：硫酸钾型</w:t>
            </w:r>
            <w:r>
              <w:rPr>
                <w:rFonts w:ascii="仿宋_GB2312" w:hAnsi="仿宋_GB2312" w:cs="仿宋_GB2312" w:eastAsia="仿宋_GB2312"/>
                <w:sz w:val="32"/>
                <w:color w:val="333333"/>
              </w:rPr>
              <w:t xml:space="preserve">45%三元素复合肥（N-PO-K0=15-15- </w:t>
            </w:r>
            <w:r>
              <w:rPr>
                <w:rFonts w:ascii="仿宋_GB2312" w:hAnsi="仿宋_GB2312" w:cs="仿宋_GB2312" w:eastAsia="仿宋_GB2312"/>
                <w:sz w:val="32"/>
                <w:color w:val="333333"/>
              </w:rPr>
              <w:t>15）</w:t>
            </w:r>
          </w:p>
          <w:p>
            <w:pPr>
              <w:pStyle w:val="null3"/>
              <w:jc w:val="left"/>
            </w:pPr>
            <w:r>
              <w:rPr>
                <w:rFonts w:ascii="仿宋_GB2312" w:hAnsi="仿宋_GB2312" w:cs="仿宋_GB2312" w:eastAsia="仿宋_GB2312"/>
                <w:sz w:val="32"/>
                <w:color w:val="333333"/>
              </w:rPr>
              <w:t>规格：</w:t>
            </w:r>
            <w:r>
              <w:rPr>
                <w:rFonts w:ascii="仿宋_GB2312" w:hAnsi="仿宋_GB2312" w:cs="仿宋_GB2312" w:eastAsia="仿宋_GB2312"/>
                <w:sz w:val="32"/>
                <w:color w:val="000000"/>
              </w:rPr>
              <w:t>50公斤/袋，无霉品变，无杂质等 共计 245吨</w:t>
            </w:r>
          </w:p>
          <w:p>
            <w:pPr>
              <w:pStyle w:val="null3"/>
              <w:jc w:val="left"/>
            </w:pPr>
            <w:r>
              <w:rPr>
                <w:rFonts w:ascii="仿宋_GB2312" w:hAnsi="仿宋_GB2312" w:cs="仿宋_GB2312" w:eastAsia="仿宋_GB2312"/>
                <w:sz w:val="32"/>
                <w:color w:val="333333"/>
              </w:rPr>
              <w:t>质量必须符合行业部门要求</w:t>
            </w:r>
            <w:r>
              <w:rPr>
                <w:rFonts w:ascii="仿宋_GB2312" w:hAnsi="仿宋_GB2312" w:cs="仿宋_GB2312" w:eastAsia="仿宋_GB2312"/>
                <w:sz w:val="32"/>
                <w:color w:val="333333"/>
              </w:rPr>
              <w:t>，</w:t>
            </w:r>
            <w:r>
              <w:rPr>
                <w:rFonts w:ascii="仿宋_GB2312" w:hAnsi="仿宋_GB2312" w:cs="仿宋_GB2312" w:eastAsia="仿宋_GB2312"/>
                <w:sz w:val="32"/>
                <w:color w:val="000000"/>
              </w:rPr>
              <w:t>包装完整，有生产日期及标签。</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自合同签订之日起10个日历日内完成全部采购内容，并交付采购人验收合格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符合国家相关标准及采购人要求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质保期为终验合格后不少于12个月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法人代表证明书或法人授权委托书，后附法人及被委托人身份证（法定代表人直接参加投标的只需提供法定代表人身份证）；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供应商如为生产厂商应具备《肥料生产许可证》，如为经销商须提供产品的来源渠道合法的证明文件（包括但不限于销售协议、代理协议、原厂授权等）及生产厂家相关证件的复印件加盖公章;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供应商提供的技术参数与性能指标满足文件中的相关要求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按照要求报价且报价未超采购预算，报价唯一</w:t>
            </w:r>
          </w:p>
        </w:tc>
        <w:tc>
          <w:tcPr>
            <w:tcW w:type="dxa" w:w="3322"/>
          </w:tcPr>
          <w:p>
            <w:pPr>
              <w:pStyle w:val="null3"/>
            </w:pPr>
            <w:r>
              <w:rPr>
                <w:rFonts w:ascii="仿宋_GB2312" w:hAnsi="仿宋_GB2312" w:cs="仿宋_GB2312" w:eastAsia="仿宋_GB2312"/>
              </w:rPr>
              <w:t>报价须未超过文件中规定的预算金额或者最高限价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响应文件上法定代表人或其授权代表的签字、供应商的单位公章齐全，内容齐全符合谈判文件规定</w:t>
            </w:r>
          </w:p>
        </w:tc>
        <w:tc>
          <w:tcPr>
            <w:tcW w:type="dxa" w:w="1661"/>
          </w:tcPr>
          <w:p>
            <w:pPr>
              <w:pStyle w:val="null3"/>
            </w:pPr>
            <w:r>
              <w:rPr>
                <w:rFonts w:ascii="仿宋_GB2312" w:hAnsi="仿宋_GB2312" w:cs="仿宋_GB2312" w:eastAsia="仿宋_GB2312"/>
              </w:rPr>
              <w:t>开标一览表 业绩.docx 产品技术参数表 分项报价表.docx 投标函 中小企业声明函 残疾人福利性单位声明函 商务应答表 标的清单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所投产品具有可靠、完善的质量管理制度；有足够的加工、检验能力；所投产品符合国际、国内相关标准，有具体可行的质量保证承诺，保证使用单位能正常使用。 优良得15分；一般得10分；较差得5分。 不提供的不计分。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能提供所投产品的合法来源渠道证明文件（包括但不限于出厂质检报告等） 优良得10分；一般得5分；较差得3分。 不提供的不计分。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项目实施方案：备货、供货进度及保证措施，拟投入本项目的人员安排及责任制度，安全保障措施，应急处理措施。 优良得15分；一般得10分；较差得5分。 不提供的不计分。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履约能力承诺包括但不限于：①仓储设施②运输工具③管理水平。 优良得15分；一般得10分；较差得5分。 不提供的不计分。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售后服务网点的设定、拟投入售后服务人员配置情况、项目交付用户后出现缺陷响应时间及措施。 优良得10分；一般得5分；较差得3分。不提供的不计分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2022年1月1日以来承接过的类似项目业绩，每提供一个得2.5分。（以合同复印件或中标通知书为准）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采用低价优先法计算，满足招标文件要求且投标价格最低的投标报价为评标基准价，其价格分为满分30分。 投标报价得分＝（评审基准价/投标报价）×30 评委会三分之二以上专家认为某投标报价有低于成本价嫌疑的，为无效投标报价。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