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版本号：ZCBN-城固县-2025-0025220251208001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城固县上元观镇乐丰易地搬迁安置点基础设施建设项目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ZCBN-城固县-2025-00252</w:t>
      </w:r>
      <w:r>
        <w:br/>
      </w:r>
      <w:r>
        <w:br/>
      </w:r>
      <w:r>
        <w:br/>
      </w:r>
    </w:p>
    <w:p>
      <w:pPr>
        <w:pStyle w:val="null3"/>
        <w:jc w:val="center"/>
        <w:outlineLvl w:val="2"/>
      </w:pPr>
      <w:r>
        <w:rPr>
          <w:rFonts w:ascii="仿宋_GB2312" w:hAnsi="仿宋_GB2312" w:cs="仿宋_GB2312" w:eastAsia="仿宋_GB2312"/>
          <w:sz w:val="28"/>
          <w:b/>
        </w:rPr>
        <w:t>城固县上元观镇人民政府</w:t>
      </w:r>
    </w:p>
    <w:p>
      <w:pPr>
        <w:pStyle w:val="null3"/>
        <w:jc w:val="center"/>
        <w:outlineLvl w:val="2"/>
      </w:pPr>
      <w:r>
        <w:rPr>
          <w:rFonts w:ascii="仿宋_GB2312" w:hAnsi="仿宋_GB2312" w:cs="仿宋_GB2312" w:eastAsia="仿宋_GB2312"/>
          <w:sz w:val="28"/>
          <w:b/>
        </w:rPr>
        <w:t>华正大地项目管理有限公司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华正大地项目管理有限公司</w:t>
      </w:r>
      <w:r>
        <w:rPr>
          <w:rFonts w:ascii="仿宋_GB2312" w:hAnsi="仿宋_GB2312" w:cs="仿宋_GB2312" w:eastAsia="仿宋_GB2312"/>
        </w:rPr>
        <w:t>（以下简称“代理机构”）受</w:t>
      </w:r>
      <w:r>
        <w:rPr>
          <w:rFonts w:ascii="仿宋_GB2312" w:hAnsi="仿宋_GB2312" w:cs="仿宋_GB2312" w:eastAsia="仿宋_GB2312"/>
        </w:rPr>
        <w:t>城固县上元观镇人民政府</w:t>
      </w:r>
      <w:r>
        <w:rPr>
          <w:rFonts w:ascii="仿宋_GB2312" w:hAnsi="仿宋_GB2312" w:cs="仿宋_GB2312" w:eastAsia="仿宋_GB2312"/>
        </w:rPr>
        <w:t>委托，拟对</w:t>
      </w:r>
      <w:r>
        <w:rPr>
          <w:rFonts w:ascii="仿宋_GB2312" w:hAnsi="仿宋_GB2312" w:cs="仿宋_GB2312" w:eastAsia="仿宋_GB2312"/>
        </w:rPr>
        <w:t>城固县上元观镇乐丰易地搬迁安置点基础设施建设项目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ZCBN-城固县-2025-00252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城固县上元观镇乐丰易地搬迁安置点基础设施建设项目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1、硬化便民集贸市场交易场地2000平方米及配套基础设施;2、配套建设30平方米公厕1个;3、硬化安置点周边道路长 200米、宽4米。本项目严格落实《国家以工代赈管理办法》要求，在工程实施过程中积极运用“农村公益性基础设施建设+劳务报酬发放+就业技能培训+公益性岗位设置”综合赈济模式，保证工程质量的前提下，能用人工尽量不用机械，能用当地群众尽量不用专业施工队伍。其中劳务报酬发放不低于 90 万元，占中央财政资金比例为 45%，本项目将带动务工群众不低于 100 人，开展技能培训不少于 20 人,项目建成后将增加公益性岗位 1 个，主要从事项目区环境卫生、安全管护等工作。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采购包1（城固县上元观镇乐丰易地搬迁安置点基础设施建设项目）：属于专门面向中小企业采购。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2、法定代表人授权委托书：法定代表人授权委托书（附法定代表人身份证复印件）及被授权委托人身份证（法定代表人参加投标须提供法定代表人身份证及法人身份证明）；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4、资质要求：投标供应商须具有建设行政部门颁发的建筑工程施工总承包三级及以上资质，具有有效的安全生产许可证；</w:t>
      </w:r>
    </w:p>
    <w:p>
      <w:pPr>
        <w:pStyle w:val="null3"/>
      </w:pPr>
      <w:r>
        <w:rPr>
          <w:rFonts w:ascii="仿宋_GB2312" w:hAnsi="仿宋_GB2312" w:cs="仿宋_GB2312" w:eastAsia="仿宋_GB2312"/>
        </w:rPr>
        <w:t>5、项目负责人资格要求：拟派项目负责人须具有建设行政部门颁发的建筑工程专业二级及以上建造师资质，具备有效的安全生产考核合格证书且无在建工程；</w:t>
      </w:r>
    </w:p>
    <w:p>
      <w:pPr>
        <w:pStyle w:val="null3"/>
      </w:pPr>
      <w:r>
        <w:rPr>
          <w:rFonts w:ascii="仿宋_GB2312" w:hAnsi="仿宋_GB2312" w:cs="仿宋_GB2312" w:eastAsia="仿宋_GB2312"/>
        </w:rPr>
        <w:t>6、联合体：本项目不接受联合体投标；</w:t>
      </w:r>
    </w:p>
    <w:p>
      <w:pPr>
        <w:pStyle w:val="null3"/>
      </w:pPr>
      <w:r>
        <w:rPr>
          <w:rFonts w:ascii="仿宋_GB2312" w:hAnsi="仿宋_GB2312" w:cs="仿宋_GB2312" w:eastAsia="仿宋_GB2312"/>
        </w:rPr>
        <w:t>7、以工代赈实施承诺函：供应商须提供以工代赈实施承诺函。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城固县上元观镇人民政府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城固县上元观镇人民路10号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张洪明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15809163006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华正大地项目管理有限公司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陕西省汉中市汉台区盛世国际2号写字楼8楼801室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0916-8815855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开户名称：华正大地项目管理有限公司汉中分公司</w:t>
            </w:r>
          </w:p>
          <w:p>
            <w:pPr>
              <w:pStyle w:val="null3"/>
            </w:pPr>
            <w:r>
              <w:rPr>
                <w:rFonts w:ascii="仿宋_GB2312" w:hAnsi="仿宋_GB2312" w:cs="仿宋_GB2312" w:eastAsia="仿宋_GB2312"/>
              </w:rPr>
              <w:t>开户银行：长安银行股份有限公司汉中中心广场支行</w:t>
            </w:r>
          </w:p>
          <w:p>
            <w:pPr>
              <w:pStyle w:val="null3"/>
            </w:pPr>
            <w:r>
              <w:rPr>
                <w:rFonts w:ascii="仿宋_GB2312" w:hAnsi="仿宋_GB2312" w:cs="仿宋_GB2312" w:eastAsia="仿宋_GB2312"/>
              </w:rPr>
              <w:t>银行账号：8060 6100 1421 0130 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发改价格〔2011〕534号文及《陕西省住房和城乡建设厅文件陕价行发【2014】88号》文收费标准向采购代理机构支付代理服务费。具体收费金额将在成交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城固县上元观镇人民政府</w:t>
      </w:r>
      <w:r>
        <w:rPr>
          <w:rFonts w:ascii="仿宋_GB2312" w:hAnsi="仿宋_GB2312" w:cs="仿宋_GB2312" w:eastAsia="仿宋_GB2312"/>
        </w:rPr>
        <w:t>和</w:t>
      </w:r>
      <w:r>
        <w:rPr>
          <w:rFonts w:ascii="仿宋_GB2312" w:hAnsi="仿宋_GB2312" w:cs="仿宋_GB2312" w:eastAsia="仿宋_GB2312"/>
        </w:rPr>
        <w:t>华正大地项目管理有限公司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城固县上元观镇人民政府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华正大地项目管理有限公司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城固县上元观镇人民政府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华正大地项目管理有限公司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所有工程全部完工，并验收合格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联系电话：0916-8815855</w:t>
      </w:r>
    </w:p>
    <w:p>
      <w:pPr>
        <w:pStyle w:val="null3"/>
      </w:pPr>
      <w:r>
        <w:rPr>
          <w:rFonts w:ascii="仿宋_GB2312" w:hAnsi="仿宋_GB2312" w:cs="仿宋_GB2312" w:eastAsia="仿宋_GB2312"/>
        </w:rPr>
        <w:t>地址：陕西省汉中市汉台区盛世国际2号写字楼8楼801室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1,729,640.33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城固县上元观镇乐丰易地搬迁安置点基础设施建设项目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标的名称：城固县上元观镇乐丰易地搬迁安置点基础设施建设项目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1、工期：90日历天；</w:t>
            </w:r>
          </w:p>
          <w:p>
            <w:pPr>
              <w:pStyle w:val="null3"/>
            </w:pPr>
            <w:r>
              <w:rPr>
                <w:rFonts w:ascii="仿宋_GB2312" w:hAnsi="仿宋_GB2312" w:cs="仿宋_GB2312" w:eastAsia="仿宋_GB2312"/>
              </w:rPr>
              <w:t>2、质量要求：合格；</w:t>
            </w:r>
          </w:p>
          <w:p>
            <w:pPr>
              <w:pStyle w:val="null3"/>
            </w:pPr>
            <w:r>
              <w:rPr>
                <w:rFonts w:ascii="仿宋_GB2312" w:hAnsi="仿宋_GB2312" w:cs="仿宋_GB2312" w:eastAsia="仿宋_GB2312"/>
              </w:rPr>
              <w:t>3、质保期：执行国家及行业相关标准；</w:t>
            </w:r>
          </w:p>
          <w:p>
            <w:pPr>
              <w:pStyle w:val="null3"/>
            </w:pPr>
            <w:r>
              <w:rPr>
                <w:rFonts w:ascii="仿宋_GB2312" w:hAnsi="仿宋_GB2312" w:cs="仿宋_GB2312" w:eastAsia="仿宋_GB2312"/>
              </w:rPr>
              <w:t>4、编制依据：《陕西省住房和城乡建设厅关于印发 2025 陕西省建设工程费用规则等计价依据的通知》陕建管发〔2025〕10号文件；《陕西省建设工程费用规则》（2025）、《建设工程工程量清单计价标准》（2025）、《房屋建筑与装修工程工程量计算标准》、《通用安装工程工程量计算标准》及其配套文件；《陕西省房屋建筑与装饰工程消耗量定额》（2025）、《陕西省通用安装工程消耗量定额》（2025）、《陕西省建设工程施工机械台班费用定额》（2025）；《陕西省房屋建筑与装饰工程基价表》（2025）、《陕西省通用安装工程基价表》（2025）；</w:t>
            </w:r>
          </w:p>
          <w:p>
            <w:pPr>
              <w:pStyle w:val="null3"/>
            </w:pPr>
            <w:r>
              <w:rPr>
                <w:rFonts w:ascii="仿宋_GB2312" w:hAnsi="仿宋_GB2312" w:cs="仿宋_GB2312" w:eastAsia="仿宋_GB2312"/>
              </w:rPr>
              <w:t>5、项目暂列金50000.00元；</w:t>
            </w:r>
          </w:p>
          <w:p>
            <w:pPr>
              <w:pStyle w:val="null3"/>
            </w:pPr>
            <w:r>
              <w:rPr>
                <w:rFonts w:ascii="仿宋_GB2312" w:hAnsi="仿宋_GB2312" w:cs="仿宋_GB2312" w:eastAsia="仿宋_GB2312"/>
              </w:rPr>
              <w:t>6、计价软件广联达计价软件GCCP7.0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 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投标供应商须具有建设行政部门颁发的建筑工程施工总承包三级及以上资质，具有有效的安全生产许可证；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拟派项目负责人须具有建设行政部门颁发的建筑工程专业二级及以上建造师资质，具备有效的安全生产考核合格证书且无在建工程；</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以工代赈实施承诺函</w:t>
            </w:r>
          </w:p>
        </w:tc>
        <w:tc>
          <w:tcPr>
            <w:tcW w:type="dxa" w:w="3322"/>
          </w:tcPr>
          <w:p>
            <w:pPr>
              <w:pStyle w:val="null3"/>
            </w:pPr>
            <w:r>
              <w:rPr>
                <w:rFonts w:ascii="仿宋_GB2312" w:hAnsi="仿宋_GB2312" w:cs="仿宋_GB2312" w:eastAsia="仿宋_GB2312"/>
              </w:rPr>
              <w:t>供应商须提供以工代赈实施承诺函。</w:t>
            </w:r>
          </w:p>
        </w:tc>
        <w:tc>
          <w:tcPr>
            <w:tcW w:type="dxa" w:w="1661"/>
          </w:tcPr>
          <w:p>
            <w:pPr>
              <w:pStyle w:val="null3"/>
            </w:pPr>
            <w:r>
              <w:rPr>
                <w:rFonts w:ascii="仿宋_GB2312" w:hAnsi="仿宋_GB2312" w:cs="仿宋_GB2312" w:eastAsia="仿宋_GB2312"/>
              </w:rPr>
              <w:t>以工代赈实施承诺函（格式）.docx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完全理解并接受对合格供应商、合格的货物、工程或服务要求（带“★”的实质性要求）。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响应人提供本项目施工方案，包括①施工方法（工艺）②施工组织和施工程序③现场平面布置④技术组织措施。 二、赋分标准 1、完整性：方案内容完整全面，对上述各项内容均有描述，得2分；缺1项，得1.5分；缺2 项，得1分；缺3项，得0.5分。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响应人提供本项目施工进度计划，包括①施工进度目标和施工总进度计划表/图②分部分项工期一览表③重要工程的验收、检验的次序和时间。 二、赋分标准 1、完整性：方案内容完整全面，对上述各项内容均有描述，得2分；缺1项，得1.5分；缺2 项，得1分；缺3项，得0.5分。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 响应人提供本项目工期保证措施，包括①施工组织与管理保证措施②施工技术措施。 二、赋分标准 1、完整性：方案内容完整全面，对上述各项内容均有描述，得2分；缺1项，得1分。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响应人提供本项目质量保证措施，包括①工程质量目标②施工质量保证措施③施工质量管 理与控制方案。 二、赋分标准 1、完整性：方案内容完整全面，对上述各项内容均有描述，得1分；缺1项，得0.7分；缺2 项，得0.4分。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响应人提供本项目安全技术措施，包括①安全管理制度②安全责任归属划分③安全标识：安全警戒标语、施工人员安全警示服和安全帽穿配要求④安全教育培训。 二、赋分标准 1、完整性：方案内容完整全面，对上述各项内容均有描述，得2分；缺1项，得1.5分；缺2项，得1分；缺3项，得0.5分。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响应人提供本项目文明施工措施，包括①成品保护措施和制度②施工现场的临时管理措施 ③文明施工保障措施。 二、赋分标准 1、完整性：方案内容完整全面，对上述各项内容均有描述，得2分；缺1项，得1.3分；缺2项，得0.6分。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响应人提供本项目环境保护措施，包括①环境保护管理体系②环保控制措施：污染物及废弃物的处理措施、噪音控制措施、防尘及扬尘的控制措施 二、赋分标准 1、完整性：方案内容完整全面，对上述各项内容均有描述，得1分；缺1项，得0.5分。2、针对性：针对性强，得1分；针对性一般，得0.5分；缺乏针对性，得0分。 3、可实施性：可实施性强，得1分；可实施性一般，得0.5分；缺乏可实施性，得0分。此项不提供不得分。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评审内容 响应人提供本项目新材料新工艺，包括①新技术和新工艺的应用情况②新产品和新材料的 应用情况。 二、赋分标准 1、完整性：方案内容完整全面，对上述各项内容均有描述，得1分；缺1项，得0.5分。2、针对性：针对性强，得1分；针对性一般，得0.5分；缺乏针对性，得0分。 3、可实施性：可实施性强，得1分；可实施性一般，得0.5分；缺乏可实施性，得0分。此项不提供不得分。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响应人提供本项目的紧急情况应急措施，包括①自然灾害应急措施：遇到极端天气、火灾、防汛、地震等其他突发事件的应急措施②安全事故应急措施：高空坠落伤害应急措施、触电应急措施、人员伤亡应急措施。 二、赋分标准 1、完整性：方案内容完整全面，对上述各项内容均有描述，得1分；缺1项，得0.5分。2、针对性：针对性强，得2分；针对性一般，得1分；缺乏针对性，得0分。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响应人提供本项目的资源配置计划，包括①拟投入的主要施工机械设备计划②主要材料进场计划③劳动力投入计划。 二、赋分标准 1、完整性：方案内容完整全面，对上述各项内容均有描述，得1分；缺1项，得0.7分；缺2项，得0.4分。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施工重难点</w:t>
            </w:r>
          </w:p>
        </w:tc>
        <w:tc>
          <w:tcPr>
            <w:tcW w:type="dxa" w:w="2492"/>
          </w:tcPr>
          <w:p>
            <w:pPr>
              <w:pStyle w:val="null3"/>
            </w:pPr>
            <w:r>
              <w:rPr>
                <w:rFonts w:ascii="仿宋_GB2312" w:hAnsi="仿宋_GB2312" w:cs="仿宋_GB2312" w:eastAsia="仿宋_GB2312"/>
              </w:rPr>
              <w:t>一、评审内容 响应人提供本项目的施工重难点，包括①施工重难点分析②重难点解决方案 二、赋分标准 1、完整性：方案内容完整全面，对上述各项内容均有描述，得1分；缺1项，得0.5分。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一、评审内容：响应人提供本项目的保修方案，包括①工程保修期②维修人员配备和服务措施③响应时间. 二、赋分标准 1、完整性：方案内容完整全面，对上述各项内容均有描述，得1分；缺1项，得0.7分；缺2项，得0.4分。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提供2022年12月1日以来类似项目合同复印件加盖响应人公章（以合同签订日期为准），每份2.5分，最多得5分。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2、满足磋商文件要求且投标价格最低的投标报价为评标基准价，其价格分为满分。其他磋商供应商的价格分统一按照下列公式计算：磋商报价得分=（评标基准价/磋商报价）×30%×100。 (评分分值计算保留小数点后两位，第三位“四舍五入”)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详见附件：以工代赈实施承诺函（格式）.docx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