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8EDA1">
      <w:pPr>
        <w:pStyle w:val="4"/>
        <w:numPr>
          <w:ilvl w:val="0"/>
          <w:numId w:val="0"/>
        </w:numPr>
        <w:bidi w:val="0"/>
        <w:spacing w:afterAutospacing="0"/>
        <w:ind w:leftChars="0"/>
        <w:jc w:val="center"/>
        <w:rPr>
          <w:rFonts w:hint="eastAsia" w:ascii="宋体" w:hAnsi="宋体" w:eastAsia="宋体" w:cs="宋体"/>
          <w:b w:val="0"/>
          <w:color w:val="000000"/>
          <w:sz w:val="36"/>
          <w:szCs w:val="36"/>
          <w:lang w:eastAsia="zh-CN"/>
        </w:rPr>
      </w:pPr>
      <w:r>
        <w:rPr>
          <w:rStyle w:val="10"/>
          <w:rFonts w:hint="eastAsia"/>
          <w:b/>
        </w:rPr>
        <w:t>政府采购合同主要条款格式</w:t>
      </w:r>
      <w:r>
        <w:rPr>
          <w:rStyle w:val="10"/>
          <w:rFonts w:hint="eastAsia"/>
          <w:b/>
          <w:lang w:eastAsia="zh-CN"/>
        </w:rPr>
        <w:t>（仅供参考）</w:t>
      </w:r>
    </w:p>
    <w:p w14:paraId="6D90EBD0">
      <w:pPr>
        <w:spacing w:beforeAutospacing="0" w:afterAutospacing="0" w:line="360" w:lineRule="auto"/>
        <w:ind w:left="40" w:right="40" w:rightChars="0"/>
        <w:rPr>
          <w:rFonts w:ascii="宋体" w:hAnsi="宋体" w:eastAsia="宋体" w:cs="宋体"/>
          <w:spacing w:val="28"/>
          <w:sz w:val="24"/>
          <w:szCs w:val="24"/>
        </w:rPr>
      </w:pPr>
    </w:p>
    <w:p w14:paraId="127F3B42">
      <w:pPr>
        <w:adjustRightInd w:val="0"/>
        <w:snapToGrid w:val="0"/>
        <w:jc w:val="left"/>
        <w:rPr>
          <w:rFonts w:hint="eastAsia" w:ascii="宋体" w:hAnsi="宋体" w:eastAsia="宋体" w:cs="宋体"/>
          <w:color w:val="000000"/>
          <w:sz w:val="24"/>
        </w:rPr>
      </w:pPr>
      <w:r>
        <w:rPr>
          <w:rFonts w:hint="eastAsia" w:ascii="宋体" w:hAnsi="宋体" w:eastAsia="宋体" w:cs="宋体"/>
          <w:b/>
          <w:bCs/>
          <w:color w:val="000000"/>
          <w:sz w:val="32"/>
          <w:szCs w:val="32"/>
        </w:rPr>
        <w:t>项目编号：</w:t>
      </w:r>
    </w:p>
    <w:p w14:paraId="5BEE9322">
      <w:pPr>
        <w:adjustRightInd w:val="0"/>
        <w:snapToGrid w:val="0"/>
        <w:jc w:val="center"/>
        <w:rPr>
          <w:rFonts w:hint="eastAsia" w:ascii="宋体" w:hAnsi="宋体" w:eastAsia="宋体" w:cs="宋体"/>
          <w:b/>
          <w:color w:val="000000"/>
          <w:sz w:val="24"/>
        </w:rPr>
      </w:pPr>
    </w:p>
    <w:p w14:paraId="58AAFDEC">
      <w:pPr>
        <w:adjustRightInd w:val="0"/>
        <w:snapToGrid w:val="0"/>
        <w:jc w:val="center"/>
        <w:rPr>
          <w:rFonts w:hint="eastAsia" w:ascii="宋体" w:hAnsi="宋体" w:eastAsia="宋体" w:cs="宋体"/>
          <w:b/>
          <w:color w:val="000000"/>
          <w:sz w:val="24"/>
        </w:rPr>
      </w:pPr>
    </w:p>
    <w:p w14:paraId="430C5420">
      <w:pPr>
        <w:adjustRightInd w:val="0"/>
        <w:snapToGrid w:val="0"/>
        <w:jc w:val="center"/>
        <w:rPr>
          <w:rFonts w:hint="eastAsia" w:ascii="宋体" w:hAnsi="宋体" w:eastAsia="宋体" w:cs="宋体"/>
          <w:b/>
          <w:color w:val="000000"/>
          <w:sz w:val="24"/>
        </w:rPr>
      </w:pPr>
    </w:p>
    <w:p w14:paraId="3B8CB3AB">
      <w:pPr>
        <w:adjustRightInd w:val="0"/>
        <w:snapToGrid w:val="0"/>
        <w:jc w:val="center"/>
        <w:rPr>
          <w:rFonts w:hint="eastAsia" w:ascii="宋体" w:hAnsi="宋体" w:eastAsia="宋体" w:cs="宋体"/>
          <w:b/>
          <w:color w:val="000000"/>
          <w:sz w:val="24"/>
        </w:rPr>
      </w:pPr>
    </w:p>
    <w:p w14:paraId="3E094B5E">
      <w:pPr>
        <w:adjustRightInd w:val="0"/>
        <w:snapToGrid w:val="0"/>
        <w:jc w:val="center"/>
        <w:rPr>
          <w:rFonts w:hint="eastAsia" w:ascii="宋体" w:hAnsi="宋体" w:eastAsia="宋体" w:cs="宋体"/>
          <w:b/>
          <w:color w:val="000000"/>
          <w:sz w:val="24"/>
        </w:rPr>
      </w:pPr>
    </w:p>
    <w:p w14:paraId="67A5EF9C">
      <w:pPr>
        <w:adjustRightInd w:val="0"/>
        <w:snapToGrid w:val="0"/>
        <w:jc w:val="center"/>
        <w:rPr>
          <w:rFonts w:hint="eastAsia" w:ascii="宋体" w:hAnsi="宋体" w:eastAsia="宋体" w:cs="宋体"/>
          <w:b/>
          <w:color w:val="000000"/>
          <w:sz w:val="24"/>
        </w:rPr>
      </w:pPr>
    </w:p>
    <w:p w14:paraId="08D5F3FC">
      <w:pPr>
        <w:adjustRightInd w:val="0"/>
        <w:snapToGrid w:val="0"/>
        <w:jc w:val="center"/>
        <w:rPr>
          <w:rFonts w:hint="eastAsia" w:ascii="宋体" w:hAnsi="宋体" w:eastAsia="宋体" w:cs="宋体"/>
          <w:b/>
          <w:color w:val="000000"/>
          <w:sz w:val="24"/>
        </w:rPr>
      </w:pPr>
    </w:p>
    <w:p w14:paraId="68761273">
      <w:pPr>
        <w:adjustRightInd w:val="0"/>
        <w:snapToGrid w:val="0"/>
        <w:jc w:val="center"/>
        <w:rPr>
          <w:rFonts w:hint="eastAsia" w:ascii="宋体" w:hAnsi="宋体" w:eastAsia="宋体" w:cs="宋体"/>
          <w:b/>
          <w:color w:val="000000"/>
          <w:sz w:val="24"/>
        </w:rPr>
      </w:pPr>
    </w:p>
    <w:p w14:paraId="66B5D379">
      <w:pPr>
        <w:adjustRightInd w:val="0"/>
        <w:snapToGrid w:val="0"/>
        <w:jc w:val="center"/>
        <w:rPr>
          <w:rFonts w:hint="eastAsia" w:ascii="宋体" w:hAnsi="宋体" w:eastAsia="宋体" w:cs="宋体"/>
          <w:b/>
          <w:color w:val="000000"/>
          <w:sz w:val="24"/>
        </w:rPr>
      </w:pPr>
    </w:p>
    <w:p w14:paraId="32CC6B1B">
      <w:pPr>
        <w:adjustRightInd w:val="0"/>
        <w:snapToGrid w:val="0"/>
        <w:spacing w:line="360" w:lineRule="auto"/>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采购项目合同</w:t>
      </w:r>
    </w:p>
    <w:p w14:paraId="726BBD43">
      <w:pPr>
        <w:adjustRightInd w:val="0"/>
        <w:snapToGrid w:val="0"/>
        <w:spacing w:after="120" w:afterLines="50"/>
        <w:jc w:val="center"/>
        <w:rPr>
          <w:rFonts w:hint="eastAsia" w:ascii="宋体" w:hAnsi="宋体" w:eastAsia="宋体" w:cs="宋体"/>
          <w:b/>
          <w:color w:val="000000"/>
          <w:sz w:val="24"/>
        </w:rPr>
      </w:pPr>
    </w:p>
    <w:p w14:paraId="6C160F68">
      <w:pPr>
        <w:adjustRightInd w:val="0"/>
        <w:snapToGrid w:val="0"/>
        <w:spacing w:after="120" w:afterLines="50"/>
        <w:jc w:val="center"/>
        <w:rPr>
          <w:rFonts w:hint="eastAsia" w:ascii="宋体" w:hAnsi="宋体" w:eastAsia="宋体" w:cs="宋体"/>
          <w:b/>
          <w:color w:val="000000"/>
          <w:sz w:val="24"/>
        </w:rPr>
      </w:pPr>
    </w:p>
    <w:p w14:paraId="7412BA50">
      <w:pPr>
        <w:adjustRightInd w:val="0"/>
        <w:snapToGrid w:val="0"/>
        <w:spacing w:after="120" w:afterLines="50"/>
        <w:jc w:val="center"/>
        <w:rPr>
          <w:rFonts w:hint="eastAsia" w:ascii="宋体" w:hAnsi="宋体" w:eastAsia="宋体" w:cs="宋体"/>
          <w:b/>
          <w:color w:val="000000"/>
          <w:sz w:val="24"/>
        </w:rPr>
      </w:pPr>
    </w:p>
    <w:p w14:paraId="6F063D31">
      <w:pPr>
        <w:adjustRightInd w:val="0"/>
        <w:snapToGrid w:val="0"/>
        <w:spacing w:after="120" w:afterLines="50"/>
        <w:jc w:val="center"/>
        <w:rPr>
          <w:rFonts w:hint="eastAsia" w:ascii="宋体" w:hAnsi="宋体" w:eastAsia="宋体" w:cs="宋体"/>
          <w:b/>
          <w:color w:val="000000"/>
          <w:sz w:val="24"/>
        </w:rPr>
      </w:pPr>
    </w:p>
    <w:p w14:paraId="1F85A31E">
      <w:pPr>
        <w:adjustRightInd w:val="0"/>
        <w:snapToGrid w:val="0"/>
        <w:spacing w:after="120" w:afterLines="50"/>
        <w:jc w:val="center"/>
        <w:rPr>
          <w:rFonts w:hint="eastAsia" w:ascii="宋体" w:hAnsi="宋体" w:eastAsia="宋体" w:cs="宋体"/>
          <w:b/>
          <w:color w:val="000000"/>
          <w:sz w:val="24"/>
        </w:rPr>
      </w:pPr>
    </w:p>
    <w:p w14:paraId="1946B36F">
      <w:pPr>
        <w:adjustRightInd w:val="0"/>
        <w:snapToGrid w:val="0"/>
        <w:spacing w:after="120" w:afterLines="50"/>
        <w:jc w:val="center"/>
        <w:rPr>
          <w:rFonts w:hint="eastAsia" w:ascii="宋体" w:hAnsi="宋体" w:eastAsia="宋体" w:cs="宋体"/>
          <w:b/>
          <w:color w:val="000000"/>
          <w:sz w:val="24"/>
        </w:rPr>
      </w:pPr>
    </w:p>
    <w:p w14:paraId="68B515C6">
      <w:pPr>
        <w:adjustRightInd w:val="0"/>
        <w:snapToGrid w:val="0"/>
        <w:spacing w:after="120" w:afterLines="50"/>
        <w:jc w:val="center"/>
        <w:rPr>
          <w:rFonts w:hint="eastAsia" w:ascii="宋体" w:hAnsi="宋体" w:eastAsia="宋体" w:cs="宋体"/>
          <w:b/>
          <w:color w:val="000000"/>
          <w:sz w:val="24"/>
        </w:rPr>
      </w:pPr>
    </w:p>
    <w:p w14:paraId="43167577">
      <w:pPr>
        <w:adjustRightInd w:val="0"/>
        <w:snapToGrid w:val="0"/>
        <w:spacing w:after="120" w:afterLines="50"/>
        <w:jc w:val="center"/>
        <w:rPr>
          <w:rFonts w:hint="eastAsia" w:ascii="宋体" w:hAnsi="宋体" w:eastAsia="宋体" w:cs="宋体"/>
          <w:b/>
          <w:color w:val="000000"/>
          <w:sz w:val="24"/>
        </w:rPr>
      </w:pPr>
    </w:p>
    <w:p w14:paraId="5737B769">
      <w:pPr>
        <w:adjustRightInd w:val="0"/>
        <w:snapToGrid w:val="0"/>
        <w:spacing w:after="120" w:afterLines="50"/>
        <w:jc w:val="center"/>
        <w:rPr>
          <w:rFonts w:hint="eastAsia" w:ascii="宋体" w:hAnsi="宋体" w:eastAsia="宋体" w:cs="宋体"/>
          <w:b/>
          <w:color w:val="000000"/>
          <w:sz w:val="24"/>
        </w:rPr>
      </w:pPr>
    </w:p>
    <w:p w14:paraId="0367D9A7">
      <w:pPr>
        <w:adjustRightInd w:val="0"/>
        <w:snapToGrid w:val="0"/>
        <w:spacing w:after="120" w:afterLines="50"/>
        <w:jc w:val="center"/>
        <w:rPr>
          <w:rFonts w:hint="eastAsia" w:ascii="宋体" w:hAnsi="宋体" w:eastAsia="宋体" w:cs="宋体"/>
          <w:b/>
          <w:color w:val="000000"/>
          <w:sz w:val="24"/>
        </w:rPr>
      </w:pPr>
    </w:p>
    <w:p w14:paraId="217B74DC">
      <w:pPr>
        <w:pStyle w:val="6"/>
        <w:rPr>
          <w:rFonts w:hint="eastAsia" w:ascii="宋体" w:hAnsi="宋体" w:eastAsia="宋体" w:cs="宋体"/>
        </w:rPr>
      </w:pPr>
    </w:p>
    <w:p w14:paraId="76F77319">
      <w:pPr>
        <w:adjustRightInd w:val="0"/>
        <w:snapToGrid w:val="0"/>
        <w:spacing w:after="120" w:afterLines="50"/>
        <w:jc w:val="center"/>
        <w:rPr>
          <w:rFonts w:hint="eastAsia" w:ascii="宋体" w:hAnsi="宋体" w:eastAsia="宋体" w:cs="宋体"/>
          <w:b/>
          <w:color w:val="000000"/>
          <w:sz w:val="24"/>
        </w:rPr>
      </w:pPr>
    </w:p>
    <w:p w14:paraId="16E5528D">
      <w:pPr>
        <w:adjustRightInd w:val="0"/>
        <w:snapToGrid w:val="0"/>
        <w:spacing w:after="120" w:afterLines="50"/>
        <w:jc w:val="center"/>
        <w:rPr>
          <w:rFonts w:hint="eastAsia" w:ascii="宋体" w:hAnsi="宋体" w:eastAsia="宋体" w:cs="宋体"/>
          <w:b/>
          <w:color w:val="000000"/>
          <w:sz w:val="44"/>
          <w:szCs w:val="44"/>
        </w:rPr>
        <w:sectPr>
          <w:pgSz w:w="11907" w:h="16840"/>
          <w:pgMar w:top="1440" w:right="1080" w:bottom="1440" w:left="1080"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b/>
          <w:color w:val="000000"/>
          <w:sz w:val="44"/>
          <w:szCs w:val="44"/>
        </w:rPr>
        <w:t>年  月  日</w:t>
      </w:r>
    </w:p>
    <w:p w14:paraId="0517B877">
      <w:pPr>
        <w:autoSpaceDE w:val="0"/>
        <w:autoSpaceDN w:val="0"/>
        <w:spacing w:line="360" w:lineRule="auto"/>
        <w:ind w:firstLine="482"/>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甲方（采购人）：</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rPr>
        <w:t xml:space="preserve">                                                 </w:t>
      </w:r>
    </w:p>
    <w:p w14:paraId="374AA54E">
      <w:pPr>
        <w:autoSpaceDE w:val="0"/>
        <w:autoSpaceDN w:val="0"/>
        <w:spacing w:line="360" w:lineRule="auto"/>
        <w:ind w:firstLine="482"/>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乙方（成交供应商）：</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rPr>
        <w:t xml:space="preserve">                                             </w:t>
      </w:r>
    </w:p>
    <w:p w14:paraId="6A022BB9">
      <w:pPr>
        <w:autoSpaceDE w:val="0"/>
        <w:autoSpaceDN w:val="0"/>
        <w:spacing w:line="360" w:lineRule="auto"/>
        <w:ind w:firstLine="480"/>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根据《中华人民共和国政府采购法》、《中华人民共和国</w:t>
      </w:r>
      <w:r>
        <w:rPr>
          <w:rFonts w:hint="eastAsia" w:ascii="宋体" w:hAnsi="宋体" w:eastAsia="宋体" w:cs="宋体"/>
          <w:b w:val="0"/>
          <w:bCs w:val="0"/>
          <w:sz w:val="24"/>
          <w:szCs w:val="24"/>
          <w:highlight w:val="none"/>
          <w:lang w:eastAsia="zh-CN"/>
        </w:rPr>
        <w:t>民法典</w:t>
      </w:r>
      <w:r>
        <w:rPr>
          <w:rFonts w:hint="eastAsia" w:ascii="宋体" w:hAnsi="宋体" w:eastAsia="宋体" w:cs="宋体"/>
          <w:b w:val="0"/>
          <w:bCs w:val="0"/>
          <w:sz w:val="24"/>
          <w:szCs w:val="24"/>
          <w:highlight w:val="none"/>
        </w:rPr>
        <w:t>》等相关法律，甲、乙双方就(项目名称、项目编号），经平等协商达成合同如下：</w:t>
      </w:r>
    </w:p>
    <w:p w14:paraId="35484C66">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一、合同文件</w:t>
      </w:r>
    </w:p>
    <w:p w14:paraId="480B3321">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本合同所附下列文件是构成本合同不可分割的部分，组成合同的各项文件应互相解释，互为说明，解释合同文件的优先顺序如下：</w:t>
      </w:r>
    </w:p>
    <w:p w14:paraId="4B6150E1">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（一）合同格式以及合同条款</w:t>
      </w:r>
    </w:p>
    <w:p w14:paraId="5E9D14D2">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（二）成交通知书</w:t>
      </w:r>
    </w:p>
    <w:p w14:paraId="1838C7F0">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（三）成交供应商在评审过程中做出的有关澄清、说明、承诺或者补正文件</w:t>
      </w:r>
    </w:p>
    <w:p w14:paraId="1046CDC3">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（四）成交供应商响应文件</w:t>
      </w:r>
    </w:p>
    <w:p w14:paraId="3E46EBAF">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（五）</w:t>
      </w:r>
      <w:r>
        <w:rPr>
          <w:rFonts w:hint="eastAsia" w:ascii="宋体" w:hAnsi="宋体" w:eastAsia="宋体" w:cs="宋体"/>
          <w:b w:val="0"/>
          <w:bCs w:val="0"/>
          <w:sz w:val="24"/>
          <w:szCs w:val="24"/>
          <w:highlight w:val="none"/>
          <w:lang w:eastAsia="zh-CN"/>
        </w:rPr>
        <w:t>磋商</w:t>
      </w:r>
      <w:r>
        <w:rPr>
          <w:rFonts w:hint="eastAsia" w:ascii="宋体" w:hAnsi="宋体" w:eastAsia="宋体" w:cs="宋体"/>
          <w:b w:val="0"/>
          <w:bCs w:val="0"/>
          <w:sz w:val="24"/>
          <w:szCs w:val="24"/>
          <w:highlight w:val="none"/>
        </w:rPr>
        <w:t>文件</w:t>
      </w:r>
    </w:p>
    <w:p w14:paraId="17327A06">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（六）本合同附件</w:t>
      </w:r>
    </w:p>
    <w:p w14:paraId="1F0F23E9">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二、合同的范围和条件</w:t>
      </w:r>
    </w:p>
    <w:p w14:paraId="27B19A83">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本合同的范围和条件应与上述合同文件的规定相一致。</w:t>
      </w:r>
    </w:p>
    <w:p w14:paraId="6D0A0D5E">
      <w:pPr>
        <w:autoSpaceDE w:val="0"/>
        <w:autoSpaceDN w:val="0"/>
        <w:spacing w:line="360" w:lineRule="auto"/>
        <w:ind w:firstLine="501" w:firstLineChars="209"/>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三、服务项目</w:t>
      </w:r>
    </w:p>
    <w:p w14:paraId="3B023978">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本合同所提供的服务项目内容： （与响应文件中服务明细表一致）。</w:t>
      </w:r>
    </w:p>
    <w:p w14:paraId="659DFBCB">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四、合同金额</w:t>
      </w:r>
    </w:p>
    <w:p w14:paraId="23DD2D5C">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合同金额为人民币</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万元，大写：</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w:t>
      </w:r>
    </w:p>
    <w:p w14:paraId="53F165BD">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五、付款途径</w:t>
      </w:r>
    </w:p>
    <w:p w14:paraId="7953AACD">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六、付款方式</w:t>
      </w:r>
    </w:p>
    <w:p w14:paraId="58DE4C2E">
      <w:pPr>
        <w:autoSpaceDE w:val="0"/>
        <w:autoSpaceDN w:val="0"/>
        <w:spacing w:line="360" w:lineRule="auto"/>
        <w:ind w:firstLine="480"/>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□分期支付方式</w:t>
      </w:r>
    </w:p>
    <w:p w14:paraId="6071B23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baseline"/>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 xml:space="preserve">合同生效后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个工作日内，甲方向乙方支付合同金额的</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%，即人民币</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万元，大写</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万元；提供服务成果并经双方验收合格之日起</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个工作日内甲方向乙方支付合同金额的</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%，即人民币</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万元，大写：</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，余款</w:t>
      </w:r>
      <w:r>
        <w:rPr>
          <w:rFonts w:hint="eastAsia" w:ascii="宋体" w:hAnsi="宋体" w:eastAsia="宋体" w:cs="宋体"/>
          <w:b w:val="0"/>
          <w:bCs w:val="0"/>
          <w:color w:val="auto"/>
          <w:sz w:val="24"/>
          <w:szCs w:val="24"/>
          <w:highlight w:val="none"/>
          <w:u w:val="single"/>
        </w:rPr>
        <w:t>3%</w:t>
      </w:r>
      <w:r>
        <w:rPr>
          <w:rFonts w:hint="eastAsia" w:ascii="宋体" w:hAnsi="宋体" w:eastAsia="宋体" w:cs="宋体"/>
          <w:b w:val="0"/>
          <w:bCs w:val="0"/>
          <w:sz w:val="24"/>
          <w:szCs w:val="24"/>
          <w:highlight w:val="none"/>
        </w:rPr>
        <w:t>即人民币</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万元，质保期（</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 xml:space="preserve">年）满后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日内一次无息付清</w:t>
      </w:r>
      <w:r>
        <w:rPr>
          <w:rFonts w:hint="eastAsia" w:ascii="宋体" w:hAnsi="宋体" w:eastAsia="宋体" w:cs="宋体"/>
          <w:b w:val="0"/>
          <w:bCs w:val="0"/>
          <w:sz w:val="24"/>
          <w:szCs w:val="24"/>
          <w:highlight w:val="none"/>
          <w:lang w:eastAsia="zh-CN"/>
        </w:rPr>
        <w:t>。</w:t>
      </w:r>
    </w:p>
    <w:p w14:paraId="729C07D0">
      <w:pPr>
        <w:autoSpaceDE w:val="0"/>
        <w:autoSpaceDN w:val="0"/>
        <w:spacing w:line="360" w:lineRule="auto"/>
        <w:ind w:firstLine="480"/>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□一次性支付方式</w:t>
      </w:r>
    </w:p>
    <w:p w14:paraId="4EF4EEC1">
      <w:pPr>
        <w:tabs>
          <w:tab w:val="left" w:pos="840"/>
        </w:tabs>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提供服务成果并经双方验收合格之日起</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个工作日内，甲方向乙方支付全部合同价款，即人民币</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万元，大写：</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 xml:space="preserve"> 。</w:t>
      </w:r>
    </w:p>
    <w:p w14:paraId="72793F24">
      <w:pPr>
        <w:pStyle w:val="5"/>
        <w:tabs>
          <w:tab w:val="right" w:pos="8312"/>
        </w:tabs>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七、服务期限、地点</w:t>
      </w:r>
      <w:r>
        <w:rPr>
          <w:rFonts w:hint="eastAsia" w:ascii="宋体" w:hAnsi="宋体" w:eastAsia="宋体" w:cs="宋体"/>
          <w:b w:val="0"/>
          <w:bCs w:val="0"/>
          <w:sz w:val="24"/>
          <w:szCs w:val="24"/>
          <w:highlight w:val="none"/>
        </w:rPr>
        <w:tab/>
      </w:r>
    </w:p>
    <w:p w14:paraId="7BBCCD2C">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1、服务期限：</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日至</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 xml:space="preserve"> 年</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w:t>
      </w:r>
    </w:p>
    <w:p w14:paraId="1B2F3E17">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2、服务地点：</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 xml:space="preserve">                         。</w:t>
      </w:r>
    </w:p>
    <w:p w14:paraId="7A1AFC3E">
      <w:pPr>
        <w:pStyle w:val="5"/>
        <w:spacing w:line="360" w:lineRule="auto"/>
        <w:ind w:firstLine="482"/>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八、质量</w:t>
      </w:r>
    </w:p>
    <w:p w14:paraId="695A3000">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乙方提供的服务应符合国家（或行业）规定标准。</w:t>
      </w:r>
    </w:p>
    <w:p w14:paraId="2DD01434">
      <w:pPr>
        <w:pStyle w:val="5"/>
        <w:spacing w:line="360" w:lineRule="auto"/>
        <w:ind w:firstLine="482"/>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九、知识产权</w:t>
      </w:r>
    </w:p>
    <w:p w14:paraId="3F77A5C4">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乙方应保证甲方所使用的服务成果免受第三方提出的侵犯其知识产权的诉讼。</w:t>
      </w:r>
    </w:p>
    <w:p w14:paraId="18247F9E">
      <w:pPr>
        <w:spacing w:line="360" w:lineRule="auto"/>
        <w:ind w:firstLine="482"/>
        <w:rPr>
          <w:rFonts w:hint="eastAsia" w:ascii="宋体" w:hAnsi="宋体" w:eastAsia="宋体" w:cs="宋体"/>
          <w:b w:val="0"/>
          <w:bCs w:val="0"/>
          <w:sz w:val="24"/>
          <w:szCs w:val="24"/>
          <w:highlight w:val="none"/>
        </w:rPr>
      </w:pPr>
      <w:bookmarkStart w:id="0" w:name="_Toc223404485"/>
      <w:r>
        <w:rPr>
          <w:rFonts w:hint="eastAsia" w:ascii="宋体" w:hAnsi="宋体" w:eastAsia="宋体" w:cs="宋体"/>
          <w:b w:val="0"/>
          <w:bCs w:val="0"/>
          <w:sz w:val="24"/>
          <w:szCs w:val="24"/>
          <w:highlight w:val="none"/>
        </w:rPr>
        <w:t>十、违约条款</w:t>
      </w:r>
      <w:bookmarkEnd w:id="0"/>
    </w:p>
    <w:p w14:paraId="1C6C3620">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1、乙方延迟提供服务，每延迟</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日，按合同金额的</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支付违约金。</w:t>
      </w:r>
    </w:p>
    <w:p w14:paraId="28665BDE">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2、一方不按期履行合同，并经另一方提示后</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日内仍不履行合同的，守约方有权解除合同，违约方要承担相应的法律责任。</w:t>
      </w:r>
    </w:p>
    <w:p w14:paraId="300C7DF9">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3、如因一方违约，双方未能就赔偿损失达成协议，引起诉讼或仲裁时，违约方除应赔偿对方经济损失外，还应承担因诉讼或仲裁所支付的律师代理费等相关费用。</w:t>
      </w:r>
    </w:p>
    <w:p w14:paraId="4407FE2C">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4、其它应承担的违约责任，以《中华人民共和国</w:t>
      </w:r>
      <w:r>
        <w:rPr>
          <w:rFonts w:hint="eastAsia" w:ascii="宋体" w:hAnsi="宋体" w:eastAsia="宋体" w:cs="宋体"/>
          <w:b w:val="0"/>
          <w:bCs w:val="0"/>
          <w:sz w:val="24"/>
          <w:szCs w:val="24"/>
          <w:highlight w:val="none"/>
          <w:lang w:eastAsia="zh-CN"/>
        </w:rPr>
        <w:t>民法典</w:t>
      </w:r>
      <w:r>
        <w:rPr>
          <w:rFonts w:hint="eastAsia" w:ascii="宋体" w:hAnsi="宋体" w:eastAsia="宋体" w:cs="宋体"/>
          <w:b w:val="0"/>
          <w:bCs w:val="0"/>
          <w:sz w:val="24"/>
          <w:szCs w:val="24"/>
          <w:highlight w:val="none"/>
        </w:rPr>
        <w:t>》和其它有关法律、法规规定为准，无相关规定的，双方协商解决。</w:t>
      </w:r>
    </w:p>
    <w:p w14:paraId="5A66ED0E">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5、按照本合同规定应该偿付的违约金、赔偿金等，应当在明确责任后</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日内，按银行规定或双方商定的结算办法付清，否则按逾期付款处理。</w:t>
      </w:r>
    </w:p>
    <w:p w14:paraId="2B472216">
      <w:pPr>
        <w:spacing w:line="360" w:lineRule="auto"/>
        <w:ind w:firstLine="482"/>
        <w:rPr>
          <w:rFonts w:hint="eastAsia" w:ascii="宋体" w:hAnsi="宋体" w:eastAsia="宋体" w:cs="宋体"/>
          <w:b w:val="0"/>
          <w:bCs w:val="0"/>
          <w:sz w:val="24"/>
          <w:szCs w:val="24"/>
          <w:highlight w:val="none"/>
        </w:rPr>
      </w:pPr>
      <w:bookmarkStart w:id="1" w:name="_Toc223404486"/>
      <w:r>
        <w:rPr>
          <w:rFonts w:hint="eastAsia" w:ascii="宋体" w:hAnsi="宋体" w:eastAsia="宋体" w:cs="宋体"/>
          <w:b w:val="0"/>
          <w:bCs w:val="0"/>
          <w:sz w:val="24"/>
          <w:szCs w:val="24"/>
          <w:highlight w:val="none"/>
        </w:rPr>
        <w:t>十一、不可抗力条款</w:t>
      </w:r>
      <w:bookmarkEnd w:id="1"/>
    </w:p>
    <w:p w14:paraId="6F5ADAB1">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因不可抗力致使一方不能及时或完全履行合同的，应及时通知采购代理机构及另一方，双方互不承担责任，并在</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天内提供有关不可抗力的相应证明。合同未履行部分是否继续履行、如何履行等问题，可由双方协商解决。</w:t>
      </w:r>
    </w:p>
    <w:p w14:paraId="2915F6F2">
      <w:pPr>
        <w:spacing w:line="360" w:lineRule="auto"/>
        <w:ind w:firstLine="482"/>
        <w:rPr>
          <w:rFonts w:hint="eastAsia" w:ascii="宋体" w:hAnsi="宋体" w:eastAsia="宋体" w:cs="宋体"/>
          <w:b w:val="0"/>
          <w:bCs w:val="0"/>
          <w:sz w:val="24"/>
          <w:szCs w:val="24"/>
          <w:highlight w:val="none"/>
        </w:rPr>
      </w:pPr>
      <w:bookmarkStart w:id="2" w:name="_Toc223404487"/>
      <w:r>
        <w:rPr>
          <w:rFonts w:hint="eastAsia" w:ascii="宋体" w:hAnsi="宋体" w:eastAsia="宋体" w:cs="宋体"/>
          <w:b w:val="0"/>
          <w:bCs w:val="0"/>
          <w:sz w:val="24"/>
          <w:szCs w:val="24"/>
          <w:highlight w:val="none"/>
        </w:rPr>
        <w:t>十二、争议的解决方式</w:t>
      </w:r>
      <w:bookmarkEnd w:id="2"/>
    </w:p>
    <w:p w14:paraId="022C8866">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合同发生纠纷时，双方应协商解决，协商不成可以采用下列方式解决：</w:t>
      </w:r>
    </w:p>
    <w:p w14:paraId="1C3EA691">
      <w:pPr>
        <w:numPr>
          <w:ilvl w:val="0"/>
          <w:numId w:val="0"/>
        </w:numPr>
        <w:bidi w:val="0"/>
        <w:spacing w:line="360" w:lineRule="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kern w:val="2"/>
          <w:sz w:val="24"/>
          <w:szCs w:val="24"/>
          <w:lang w:val="en-US" w:eastAsia="zh-CN" w:bidi="ar-SA"/>
        </w:rPr>
        <w:t>1、</w:t>
      </w:r>
      <w:r>
        <w:rPr>
          <w:rFonts w:hint="eastAsia" w:ascii="宋体" w:hAnsi="宋体" w:eastAsia="宋体" w:cs="宋体"/>
          <w:b w:val="0"/>
          <w:bCs w:val="0"/>
          <w:sz w:val="24"/>
          <w:szCs w:val="24"/>
          <w:highlight w:val="none"/>
        </w:rPr>
        <w:t>提交仲裁委员会仲裁</w:t>
      </w:r>
      <w:r>
        <w:rPr>
          <w:rFonts w:hint="eastAsia" w:ascii="宋体" w:hAnsi="宋体" w:eastAsia="宋体" w:cs="宋体"/>
          <w:b w:val="0"/>
          <w:bCs w:val="0"/>
          <w:sz w:val="24"/>
          <w:szCs w:val="24"/>
          <w:highlight w:val="none"/>
          <w:lang w:eastAsia="zh-CN"/>
        </w:rPr>
        <w:t>；</w:t>
      </w:r>
    </w:p>
    <w:p w14:paraId="79AEB479">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2、向人民法院诉讼。</w:t>
      </w:r>
    </w:p>
    <w:p w14:paraId="3ACAC8F5">
      <w:pPr>
        <w:spacing w:line="360" w:lineRule="auto"/>
        <w:ind w:firstLine="482"/>
        <w:rPr>
          <w:rFonts w:hint="eastAsia" w:ascii="宋体" w:hAnsi="宋体" w:eastAsia="宋体" w:cs="宋体"/>
          <w:b w:val="0"/>
          <w:bCs w:val="0"/>
          <w:sz w:val="24"/>
          <w:szCs w:val="24"/>
          <w:highlight w:val="none"/>
        </w:rPr>
      </w:pPr>
      <w:bookmarkStart w:id="3" w:name="_Toc223404488"/>
      <w:r>
        <w:rPr>
          <w:rFonts w:hint="eastAsia" w:ascii="宋体" w:hAnsi="宋体" w:eastAsia="宋体" w:cs="宋体"/>
          <w:b w:val="0"/>
          <w:bCs w:val="0"/>
          <w:sz w:val="24"/>
          <w:szCs w:val="24"/>
          <w:highlight w:val="none"/>
        </w:rPr>
        <w:t>十三、补充协议</w:t>
      </w:r>
      <w:bookmarkEnd w:id="3"/>
    </w:p>
    <w:p w14:paraId="755CEE24">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合同未尽事宜，经双方协商可签订补充协议，所签订的补充协议与本合同具有同等的法律效力，补充协议的生效应符合本合同的有关规定。合同补充条款应同时报政府采购监督管理部门备案。</w:t>
      </w:r>
    </w:p>
    <w:p w14:paraId="1842B3B9">
      <w:pPr>
        <w:autoSpaceDE w:val="0"/>
        <w:autoSpaceDN w:val="0"/>
        <w:spacing w:line="360" w:lineRule="auto"/>
        <w:ind w:firstLine="480"/>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十四、合同保存</w:t>
      </w:r>
      <w:r>
        <w:rPr>
          <w:rFonts w:hint="eastAsia" w:ascii="宋体" w:hAnsi="宋体" w:eastAsia="宋体" w:cs="宋体"/>
          <w:b w:val="0"/>
          <w:bCs w:val="0"/>
          <w:sz w:val="24"/>
          <w:szCs w:val="24"/>
          <w:highlight w:val="none"/>
          <w:lang w:eastAsia="zh-CN"/>
        </w:rPr>
        <w:t>：</w:t>
      </w:r>
    </w:p>
    <w:p w14:paraId="6D9F5ED9">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本合同一式</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份，甲方</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份，乙方</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份，采购代理机构</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份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市（县、区）政府采购监督管理部门</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份。</w:t>
      </w:r>
    </w:p>
    <w:p w14:paraId="1E309F49">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十五、其他需要补充的内容：</w:t>
      </w:r>
    </w:p>
    <w:p w14:paraId="340E7B64">
      <w:pPr>
        <w:pStyle w:val="5"/>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1、乙方应按</w:t>
      </w:r>
      <w:r>
        <w:rPr>
          <w:rFonts w:hint="eastAsia" w:ascii="宋体" w:hAnsi="宋体" w:eastAsia="宋体" w:cs="宋体"/>
          <w:b w:val="0"/>
          <w:bCs w:val="0"/>
          <w:sz w:val="24"/>
          <w:szCs w:val="24"/>
          <w:highlight w:val="none"/>
          <w:lang w:eastAsia="zh-CN"/>
        </w:rPr>
        <w:t>竞争性磋商</w:t>
      </w:r>
      <w:r>
        <w:rPr>
          <w:rFonts w:hint="eastAsia" w:ascii="宋体" w:hAnsi="宋体" w:eastAsia="宋体" w:cs="宋体"/>
          <w:b w:val="0"/>
          <w:bCs w:val="0"/>
          <w:sz w:val="24"/>
          <w:szCs w:val="24"/>
          <w:highlight w:val="none"/>
        </w:rPr>
        <w:t>响应文件及乙方在</w:t>
      </w:r>
      <w:r>
        <w:rPr>
          <w:rFonts w:hint="eastAsia" w:ascii="宋体" w:hAnsi="宋体" w:eastAsia="宋体" w:cs="宋体"/>
          <w:b w:val="0"/>
          <w:bCs w:val="0"/>
          <w:sz w:val="24"/>
          <w:szCs w:val="24"/>
          <w:highlight w:val="none"/>
          <w:lang w:eastAsia="zh-CN"/>
        </w:rPr>
        <w:t>磋商</w:t>
      </w:r>
      <w:r>
        <w:rPr>
          <w:rFonts w:hint="eastAsia" w:ascii="宋体" w:hAnsi="宋体" w:eastAsia="宋体" w:cs="宋体"/>
          <w:b w:val="0"/>
          <w:bCs w:val="0"/>
          <w:sz w:val="24"/>
          <w:szCs w:val="24"/>
          <w:highlight w:val="none"/>
        </w:rPr>
        <w:t>过程中做出的书面说明或承诺提供及时、快速、优质的服务。</w:t>
      </w:r>
    </w:p>
    <w:p w14:paraId="68027ADE">
      <w:pPr>
        <w:autoSpaceDE w:val="0"/>
        <w:autoSpaceDN w:val="0"/>
        <w:spacing w:line="360" w:lineRule="auto"/>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2、其他服务内容：</w:t>
      </w:r>
    </w:p>
    <w:p w14:paraId="20057EA0">
      <w:pPr>
        <w:pStyle w:val="2"/>
        <w:rPr>
          <w:rFonts w:hint="eastAsia" w:ascii="宋体" w:hAnsi="宋体" w:eastAsia="宋体" w:cs="宋体"/>
          <w:b w:val="0"/>
          <w:bCs w:val="0"/>
          <w:sz w:val="24"/>
          <w:szCs w:val="24"/>
          <w:highlight w:val="none"/>
        </w:rPr>
      </w:pPr>
    </w:p>
    <w:p w14:paraId="570BC137">
      <w:pPr>
        <w:pStyle w:val="3"/>
        <w:rPr>
          <w:rFonts w:hint="eastAsia" w:ascii="宋体" w:hAnsi="宋体" w:eastAsia="宋体" w:cs="宋体"/>
          <w:b w:val="0"/>
          <w:bCs w:val="0"/>
          <w:sz w:val="24"/>
          <w:szCs w:val="24"/>
          <w:highlight w:val="none"/>
        </w:rPr>
      </w:pPr>
    </w:p>
    <w:p w14:paraId="2D9E3FE8">
      <w:pPr>
        <w:rPr>
          <w:rFonts w:hint="eastAsia" w:ascii="宋体" w:hAnsi="宋体" w:eastAsia="宋体" w:cs="宋体"/>
          <w:b w:val="0"/>
          <w:bCs w:val="0"/>
          <w:sz w:val="24"/>
          <w:szCs w:val="24"/>
          <w:highlight w:val="none"/>
        </w:rPr>
      </w:pPr>
    </w:p>
    <w:p w14:paraId="5124123E">
      <w:pPr>
        <w:pStyle w:val="2"/>
        <w:rPr>
          <w:rFonts w:hint="eastAsia" w:ascii="宋体" w:hAnsi="宋体" w:eastAsia="宋体" w:cs="宋体"/>
          <w:b w:val="0"/>
          <w:bCs w:val="0"/>
          <w:sz w:val="24"/>
          <w:szCs w:val="24"/>
          <w:highlight w:val="none"/>
        </w:rPr>
      </w:pPr>
    </w:p>
    <w:p w14:paraId="152A91C7">
      <w:pPr>
        <w:pStyle w:val="3"/>
        <w:rPr>
          <w:rFonts w:hint="eastAsia" w:ascii="宋体" w:hAnsi="宋体" w:eastAsia="宋体" w:cs="宋体"/>
          <w:b w:val="0"/>
          <w:bCs w:val="0"/>
          <w:sz w:val="24"/>
          <w:szCs w:val="24"/>
          <w:highlight w:val="none"/>
        </w:rPr>
      </w:pPr>
    </w:p>
    <w:p w14:paraId="30446A4E">
      <w:pPr>
        <w:rPr>
          <w:rFonts w:hint="eastAsia" w:ascii="宋体" w:hAnsi="宋体" w:eastAsia="宋体" w:cs="宋体"/>
          <w:b w:val="0"/>
          <w:bCs w:val="0"/>
          <w:sz w:val="24"/>
          <w:szCs w:val="24"/>
          <w:highlight w:val="none"/>
        </w:rPr>
      </w:pPr>
    </w:p>
    <w:p w14:paraId="4D098FFF">
      <w:pPr>
        <w:pStyle w:val="2"/>
        <w:rPr>
          <w:rFonts w:hint="eastAsia" w:ascii="宋体" w:hAnsi="宋体" w:eastAsia="宋体" w:cs="宋体"/>
          <w:b w:val="0"/>
          <w:bCs w:val="0"/>
          <w:sz w:val="24"/>
          <w:szCs w:val="24"/>
          <w:highlight w:val="none"/>
        </w:rPr>
      </w:pPr>
    </w:p>
    <w:p w14:paraId="3587DEF3">
      <w:pPr>
        <w:pStyle w:val="3"/>
        <w:rPr>
          <w:rFonts w:hint="eastAsia"/>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4F8A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7988F75D">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甲方：</w:t>
            </w:r>
          </w:p>
        </w:tc>
        <w:tc>
          <w:tcPr>
            <w:tcW w:w="4982" w:type="dxa"/>
            <w:tcBorders>
              <w:top w:val="nil"/>
              <w:left w:val="nil"/>
              <w:bottom w:val="nil"/>
              <w:right w:val="nil"/>
            </w:tcBorders>
            <w:noWrap w:val="0"/>
            <w:vAlign w:val="center"/>
          </w:tcPr>
          <w:p w14:paraId="0DB2E62E">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乙方：</w:t>
            </w:r>
          </w:p>
        </w:tc>
      </w:tr>
      <w:tr w14:paraId="27412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4C939B74">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单位名称(公章)：</w:t>
            </w:r>
          </w:p>
        </w:tc>
        <w:tc>
          <w:tcPr>
            <w:tcW w:w="4982" w:type="dxa"/>
            <w:tcBorders>
              <w:top w:val="nil"/>
              <w:left w:val="nil"/>
              <w:bottom w:val="nil"/>
              <w:right w:val="nil"/>
            </w:tcBorders>
            <w:noWrap w:val="0"/>
            <w:vAlign w:val="center"/>
          </w:tcPr>
          <w:p w14:paraId="4D6DF7FA">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单位名称(公章)：</w:t>
            </w:r>
          </w:p>
        </w:tc>
      </w:tr>
      <w:tr w14:paraId="0538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33567A33">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法定代表人</w:t>
            </w: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rPr>
              <w:t>授权代表（签字或盖章）：</w:t>
            </w:r>
          </w:p>
        </w:tc>
        <w:tc>
          <w:tcPr>
            <w:tcW w:w="4982" w:type="dxa"/>
            <w:tcBorders>
              <w:top w:val="nil"/>
              <w:left w:val="nil"/>
              <w:bottom w:val="nil"/>
              <w:right w:val="nil"/>
            </w:tcBorders>
            <w:noWrap w:val="0"/>
            <w:vAlign w:val="center"/>
          </w:tcPr>
          <w:p w14:paraId="6134CF0E">
            <w:pPr>
              <w:widowControl w:val="0"/>
              <w:autoSpaceDE w:val="0"/>
              <w:autoSpaceDN w:val="0"/>
              <w:spacing w:line="600" w:lineRule="auto"/>
              <w:jc w:val="both"/>
              <w:rPr>
                <w:rFonts w:hint="eastAsia" w:ascii="宋体" w:hAnsi="宋体" w:eastAsia="宋体" w:cs="宋体"/>
                <w:b w:val="0"/>
                <w:bCs w:val="0"/>
                <w:color w:val="000000"/>
                <w:sz w:val="24"/>
                <w:szCs w:val="24"/>
                <w:vertAlign w:val="baseline"/>
              </w:rPr>
            </w:pPr>
            <w:r>
              <w:rPr>
                <w:rFonts w:hint="eastAsia" w:ascii="宋体" w:hAnsi="宋体" w:eastAsia="宋体" w:cs="宋体"/>
                <w:b w:val="0"/>
                <w:bCs w:val="0"/>
                <w:sz w:val="24"/>
                <w:szCs w:val="24"/>
                <w:highlight w:val="none"/>
              </w:rPr>
              <w:t>法定代表人</w:t>
            </w: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rPr>
              <w:t>授权代表（签字或盖章）：</w:t>
            </w:r>
          </w:p>
        </w:tc>
      </w:tr>
      <w:tr w14:paraId="6FD1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09CD8E7E">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开户银行：</w:t>
            </w:r>
          </w:p>
        </w:tc>
        <w:tc>
          <w:tcPr>
            <w:tcW w:w="4982" w:type="dxa"/>
            <w:tcBorders>
              <w:top w:val="nil"/>
              <w:left w:val="nil"/>
              <w:bottom w:val="nil"/>
              <w:right w:val="nil"/>
            </w:tcBorders>
            <w:noWrap w:val="0"/>
            <w:vAlign w:val="center"/>
          </w:tcPr>
          <w:p w14:paraId="7874CDBE">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开户银行：</w:t>
            </w:r>
          </w:p>
        </w:tc>
      </w:tr>
      <w:tr w14:paraId="2625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64A9A7E2">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银行</w:t>
            </w:r>
            <w:r>
              <w:rPr>
                <w:rFonts w:hint="eastAsia" w:ascii="宋体" w:hAnsi="宋体" w:eastAsia="宋体" w:cs="宋体"/>
                <w:b w:val="0"/>
                <w:bCs w:val="0"/>
                <w:sz w:val="24"/>
                <w:szCs w:val="24"/>
                <w:highlight w:val="none"/>
              </w:rPr>
              <w:t>账号：</w:t>
            </w:r>
          </w:p>
        </w:tc>
        <w:tc>
          <w:tcPr>
            <w:tcW w:w="4982" w:type="dxa"/>
            <w:tcBorders>
              <w:top w:val="nil"/>
              <w:left w:val="nil"/>
              <w:bottom w:val="nil"/>
              <w:right w:val="nil"/>
            </w:tcBorders>
            <w:noWrap w:val="0"/>
            <w:vAlign w:val="center"/>
          </w:tcPr>
          <w:p w14:paraId="7165B2CE">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银行</w:t>
            </w:r>
            <w:r>
              <w:rPr>
                <w:rFonts w:hint="eastAsia" w:ascii="宋体" w:hAnsi="宋体" w:eastAsia="宋体" w:cs="宋体"/>
                <w:b w:val="0"/>
                <w:bCs w:val="0"/>
                <w:sz w:val="24"/>
                <w:szCs w:val="24"/>
                <w:highlight w:val="none"/>
              </w:rPr>
              <w:t>账号：</w:t>
            </w:r>
          </w:p>
        </w:tc>
      </w:tr>
      <w:tr w14:paraId="5946A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5B6ACAB6">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联系电话：</w:t>
            </w:r>
          </w:p>
        </w:tc>
        <w:tc>
          <w:tcPr>
            <w:tcW w:w="4982" w:type="dxa"/>
            <w:tcBorders>
              <w:top w:val="nil"/>
              <w:left w:val="nil"/>
              <w:bottom w:val="nil"/>
              <w:right w:val="nil"/>
            </w:tcBorders>
            <w:noWrap w:val="0"/>
            <w:vAlign w:val="center"/>
          </w:tcPr>
          <w:p w14:paraId="287A998F">
            <w:pPr>
              <w:widowControl w:val="0"/>
              <w:autoSpaceDE w:val="0"/>
              <w:autoSpaceDN w:val="0"/>
              <w:spacing w:line="600" w:lineRule="auto"/>
              <w:jc w:val="both"/>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联系电话：</w:t>
            </w:r>
          </w:p>
        </w:tc>
      </w:tr>
      <w:tr w14:paraId="27E5C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Borders>
              <w:top w:val="nil"/>
              <w:left w:val="nil"/>
              <w:bottom w:val="nil"/>
              <w:right w:val="nil"/>
            </w:tcBorders>
            <w:noWrap w:val="0"/>
            <w:vAlign w:val="center"/>
          </w:tcPr>
          <w:p w14:paraId="3D756CD0">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签订日期：</w:t>
            </w:r>
          </w:p>
        </w:tc>
        <w:tc>
          <w:tcPr>
            <w:tcW w:w="4982" w:type="dxa"/>
            <w:tcBorders>
              <w:top w:val="nil"/>
              <w:left w:val="nil"/>
              <w:bottom w:val="nil"/>
              <w:right w:val="nil"/>
            </w:tcBorders>
            <w:noWrap w:val="0"/>
            <w:vAlign w:val="center"/>
          </w:tcPr>
          <w:p w14:paraId="676F28B6">
            <w:pPr>
              <w:widowControl w:val="0"/>
              <w:autoSpaceDE w:val="0"/>
              <w:autoSpaceDN w:val="0"/>
              <w:spacing w:line="600" w:lineRule="auto"/>
              <w:jc w:val="both"/>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签订日期：</w:t>
            </w:r>
          </w:p>
        </w:tc>
      </w:tr>
    </w:tbl>
    <w:p w14:paraId="42610A44">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upperLetter"/>
      <w:pStyle w:val="4"/>
      <w:lvlText w:val="%1．"/>
      <w:lvlJc w:val="left"/>
      <w:pPr>
        <w:tabs>
          <w:tab w:val="left" w:pos="324"/>
        </w:tabs>
        <w:ind w:left="3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6589A"/>
    <w:rsid w:val="37865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
    <w:qFormat/>
    <w:uiPriority w:val="0"/>
    <w:pPr>
      <w:keepNext/>
      <w:numPr>
        <w:ilvl w:val="0"/>
        <w:numId w:val="1"/>
      </w:numPr>
      <w:spacing w:line="360" w:lineRule="auto"/>
      <w:jc w:val="center"/>
      <w:outlineLvl w:val="0"/>
    </w:pPr>
    <w:rPr>
      <w:rFonts w:ascii="黑体" w:hAnsi="黑体" w:eastAsia="宋体"/>
      <w:b/>
      <w:sz w:val="32"/>
      <w:szCs w:val="20"/>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next w:val="3"/>
    <w:uiPriority w:val="99"/>
    <w:pPr>
      <w:tabs>
        <w:tab w:val="center" w:pos="4153"/>
        <w:tab w:val="right" w:pos="8306"/>
      </w:tabs>
      <w:snapToGrid w:val="0"/>
      <w:jc w:val="left"/>
    </w:pPr>
    <w:rPr>
      <w:sz w:val="18"/>
      <w:szCs w:val="20"/>
    </w:rPr>
  </w:style>
  <w:style w:type="paragraph" w:styleId="3">
    <w:name w:val="Body Text"/>
    <w:basedOn w:val="1"/>
    <w:next w:val="1"/>
    <w:qFormat/>
    <w:uiPriority w:val="0"/>
    <w:pPr>
      <w:ind w:right="-84" w:rightChars="-40"/>
      <w:jc w:val="center"/>
    </w:pPr>
  </w:style>
  <w:style w:type="paragraph" w:styleId="5">
    <w:name w:val="Plain Text"/>
    <w:basedOn w:val="1"/>
    <w:next w:val="1"/>
    <w:qFormat/>
    <w:uiPriority w:val="0"/>
    <w:rPr>
      <w:rFonts w:ascii="宋体" w:hAnsi="Courier New" w:cs="黑体"/>
      <w:kern w:val="0"/>
      <w:szCs w:val="21"/>
    </w:rPr>
  </w:style>
  <w:style w:type="paragraph" w:styleId="6">
    <w:name w:val="Body Text First Indent"/>
    <w:basedOn w:val="3"/>
    <w:qFormat/>
    <w:uiPriority w:val="0"/>
    <w:pPr>
      <w:spacing w:after="120" w:afterLines="0"/>
      <w:ind w:right="0" w:rightChars="0" w:firstLine="420" w:firstLineChars="100"/>
      <w:jc w:val="both"/>
    </w:pPr>
    <w:rPr>
      <w:szCs w:val="20"/>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Char"/>
    <w:link w:val="4"/>
    <w:uiPriority w:val="0"/>
    <w:rPr>
      <w:rFonts w:ascii="黑体" w:hAnsi="黑体" w:eastAsia="宋体"/>
      <w:b/>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2025-09-14T10:53:00Z</dcterms:created>
  <dc:creator>forest21</dc:creator>
  <cp:lastModifiedBy>forest21</cp:lastModifiedBy>
  <dcterms:modified xsi:type="dcterms:W3CDTF">2025-09-14T10:53:21Z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21E90C941CA945F69C76C375ED487A6B_11</vt:lpwstr>
  </property>
  <property fmtid="{D5CDD505-2E9C-101B-9397-08002B2CF9AE}" pid="4" name="KSOTemplateDocerSaveRecord">
    <vt:lpwstr>eyJoZGlkIjoiMTQ2ZTVhNGQ5YWQ2ZjViN2VhNjcyM2IwYzM5ZGEwZjEiLCJ1c2VySWQiOiI5NDA5Mjg2NTQifQ==</vt:lpwstr>
  </property>
</Properties>
</file>