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版本号：FDZB-2025-023Z20250818001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城固县2025年新增地方政府一般债券山洪灾害防御体系建设项目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FDZB-2025-023Z</w:t>
      </w:r>
      <w:r>
        <w:br/>
      </w:r>
      <w:r>
        <w:br/>
      </w:r>
      <w:r>
        <w:br/>
      </w:r>
    </w:p>
    <w:p>
      <w:pPr>
        <w:pStyle w:val="null3"/>
        <w:jc w:val="center"/>
        <w:outlineLvl w:val="2"/>
      </w:pPr>
      <w:r>
        <w:rPr>
          <w:rFonts w:ascii="仿宋_GB2312" w:hAnsi="仿宋_GB2312" w:cs="仿宋_GB2312" w:eastAsia="仿宋_GB2312"/>
          <w:sz w:val="28"/>
          <w:b/>
        </w:rPr>
        <w:t>城固县水利局</w:t>
      </w:r>
    </w:p>
    <w:p>
      <w:pPr>
        <w:pStyle w:val="null3"/>
        <w:jc w:val="center"/>
        <w:outlineLvl w:val="2"/>
      </w:pPr>
      <w:r>
        <w:rPr>
          <w:rFonts w:ascii="仿宋_GB2312" w:hAnsi="仿宋_GB2312" w:cs="仿宋_GB2312" w:eastAsia="仿宋_GB2312"/>
          <w:sz w:val="28"/>
          <w:b/>
        </w:rPr>
        <w:t>陕西丰德项目管理有限公司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陕西丰德项目管理有限公司</w:t>
      </w:r>
      <w:r>
        <w:rPr>
          <w:rFonts w:ascii="仿宋_GB2312" w:hAnsi="仿宋_GB2312" w:cs="仿宋_GB2312" w:eastAsia="仿宋_GB2312"/>
        </w:rPr>
        <w:t>（以下简称“代理机构”）受</w:t>
      </w:r>
      <w:r>
        <w:rPr>
          <w:rFonts w:ascii="仿宋_GB2312" w:hAnsi="仿宋_GB2312" w:cs="仿宋_GB2312" w:eastAsia="仿宋_GB2312"/>
        </w:rPr>
        <w:t>城固县水利局</w:t>
      </w:r>
      <w:r>
        <w:rPr>
          <w:rFonts w:ascii="仿宋_GB2312" w:hAnsi="仿宋_GB2312" w:cs="仿宋_GB2312" w:eastAsia="仿宋_GB2312"/>
        </w:rPr>
        <w:t>委托，拟对</w:t>
      </w:r>
      <w:r>
        <w:rPr>
          <w:rFonts w:ascii="仿宋_GB2312" w:hAnsi="仿宋_GB2312" w:cs="仿宋_GB2312" w:eastAsia="仿宋_GB2312"/>
        </w:rPr>
        <w:t>城固县2025年新增地方政府一般债券山洪灾害防御体系建设项目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FDZB-2025-023Z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城固县2025年新增地方政府一般债券山洪灾害防御体系建设项目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南沙河、文川河、堰沟河等14条中小河流洪水淹没风险分析，绘制洪水淹没风险图；对62座县管小型水库进行溃坝风险分析，绘制水库溃坝风险图；对全县11个镇45个村2016户受威胁家庭安装入户预警呼叫终端，配套建设45个村级预警监测站点，对上井沟等11座二类坝设置大坝位移变形监测站33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采购包1（城固县2025年中小河流洪水淹没和小型水库溃坝风险图编制项目）：属于专门面向小微企业采购。</w:t>
      </w:r>
    </w:p>
    <w:p>
      <w:pPr>
        <w:pStyle w:val="null3"/>
      </w:pPr>
      <w:r>
        <w:rPr>
          <w:rFonts w:ascii="仿宋_GB2312" w:hAnsi="仿宋_GB2312" w:cs="仿宋_GB2312" w:eastAsia="仿宋_GB2312"/>
        </w:rPr>
        <w:t>采购包2（城固县2025年山洪灾害风险区预警呼叫终端及预警监测、大坝位移监测项目）：属于专门面向null采购。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授权书：供应商应授权合法的人员参加投标全过程，其中法定代表人直接参加投标的，须出具法人代表人身份证明书，并与营业执照上信息一致。法定代表人授权代表参加投标的，须出具法定代表人授权书及授权代表身份证；</w:t>
      </w:r>
    </w:p>
    <w:p>
      <w:pPr>
        <w:pStyle w:val="null3"/>
      </w:pPr>
      <w:r>
        <w:rPr>
          <w:rFonts w:ascii="仿宋_GB2312" w:hAnsi="仿宋_GB2312" w:cs="仿宋_GB2312" w:eastAsia="仿宋_GB2312"/>
        </w:rPr>
        <w:t>3、企业资质：供应商须具备工程设计水利行业乙级（含乙级）以上资质或工程测量、地理信息系统工程专业测绘乙级（含乙级）或水文水资源调查评价专业乙级（含乙级）以上资质证书复印件；</w:t>
      </w:r>
    </w:p>
    <w:p>
      <w:pPr>
        <w:pStyle w:val="null3"/>
      </w:pPr>
      <w:r>
        <w:rPr>
          <w:rFonts w:ascii="仿宋_GB2312" w:hAnsi="仿宋_GB2312" w:cs="仿宋_GB2312" w:eastAsia="仿宋_GB2312"/>
        </w:rPr>
        <w:t>4、项目负责人要求：项目负责人须具有水利相关专业中级（含中级）以上专业技术职称，并具有同类工程施工从业经验；</w:t>
      </w:r>
    </w:p>
    <w:p>
      <w:pPr>
        <w:pStyle w:val="null3"/>
      </w:pPr>
      <w:r>
        <w:rPr>
          <w:rFonts w:ascii="仿宋_GB2312" w:hAnsi="仿宋_GB2312" w:cs="仿宋_GB2312" w:eastAsia="仿宋_GB2312"/>
        </w:rPr>
        <w:t>5、其他：供应商应具备健全的财务会计制度、履行合同所需的设备和专业技术能力、依法缴纳税收和社会保障资金，以及参加本项目采购活动前 3 年内经营活动无重大违法记录，供应商不得为“信用中国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拟参与本项目的供应商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1、营业执照或事业单位法人证书：供应商为合法注册的法人、其他组织，具有独立承担民事责任的能力，提供营业执照或事业单位法人证书复印件，供应商为自然人的提供身份证复印件；</w:t>
      </w:r>
    </w:p>
    <w:p>
      <w:pPr>
        <w:pStyle w:val="null3"/>
      </w:pPr>
      <w:r>
        <w:rPr>
          <w:rFonts w:ascii="仿宋_GB2312" w:hAnsi="仿宋_GB2312" w:cs="仿宋_GB2312" w:eastAsia="仿宋_GB2312"/>
        </w:rPr>
        <w:t>2、法定代表人授权书：供应商应授权合法的人员参加投标全过程，其中法定代表人直接参加投标的，须出具法人代表人身份证明书，并与营业执照上信息一致。法定代表人授权代表参加投标的，须出具法定代表人授权书及授权代表身份证；</w:t>
      </w:r>
    </w:p>
    <w:p>
      <w:pPr>
        <w:pStyle w:val="null3"/>
      </w:pPr>
      <w:r>
        <w:rPr>
          <w:rFonts w:ascii="仿宋_GB2312" w:hAnsi="仿宋_GB2312" w:cs="仿宋_GB2312" w:eastAsia="仿宋_GB2312"/>
        </w:rPr>
        <w:t>3、项目负责人要求：项目负责人具有软件工程或计算机科学与技术或网络工程或信息安全等相关专业中级（含中级）以上技术职称；</w:t>
      </w:r>
    </w:p>
    <w:p>
      <w:pPr>
        <w:pStyle w:val="null3"/>
      </w:pPr>
      <w:r>
        <w:rPr>
          <w:rFonts w:ascii="仿宋_GB2312" w:hAnsi="仿宋_GB2312" w:cs="仿宋_GB2312" w:eastAsia="仿宋_GB2312"/>
        </w:rPr>
        <w:t>4、其他：供应商应具备健全的财务会计制度、履行合同所需的设备和专业技术能力、依法缴纳税收和社会保障资金，以及参加本项目采购活动前 3 年内经营活动无重大违法记录，供应商不得为“信用中国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拟参与本项目的供应商应按照汉中市财政局《关于全面推行政府采购供应商基本资格条件承诺制的通知》(汉财办采管(2024)20 号)文件要求，提供满足相应条件的资格承诺函。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城固县友谊路32号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0916-7236966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陕西丰德项目管理有限公司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陕西省西安市雁塔区天地源悦熙广场2号楼19层11901室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029-88813539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采购包1：4,050,000.00元</w:t>
            </w:r>
          </w:p>
          <w:p>
            <w:pPr>
              <w:pStyle w:val="null3"/>
            </w:pPr>
            <w:r>
              <w:rPr>
                <w:rFonts w:ascii="仿宋_GB2312" w:hAnsi="仿宋_GB2312" w:cs="仿宋_GB2312" w:eastAsia="仿宋_GB2312"/>
              </w:rPr>
              <w:t>采购包2：3,700,000.00元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采购包2保证金金额：30,000.00元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开户名称：陕西丰德项目管理有限公司</w:t>
            </w:r>
          </w:p>
          <w:p>
            <w:pPr>
              <w:pStyle w:val="null3"/>
            </w:pPr>
            <w:r>
              <w:rPr>
                <w:rFonts w:ascii="仿宋_GB2312" w:hAnsi="仿宋_GB2312" w:cs="仿宋_GB2312" w:eastAsia="仿宋_GB2312"/>
              </w:rPr>
              <w:t>开户银行：招商银行股份有限公司西安雁展路支行</w:t>
            </w:r>
          </w:p>
          <w:p>
            <w:pPr>
              <w:pStyle w:val="null3"/>
            </w:pPr>
            <w:r>
              <w:rPr>
                <w:rFonts w:ascii="仿宋_GB2312" w:hAnsi="仿宋_GB2312" w:cs="仿宋_GB2312" w:eastAsia="仿宋_GB2312"/>
              </w:rPr>
              <w:t>银行账号：129911294910918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说明：1.中标供应商应在10日内一次性缴纳履约保证金； 2.在合同履行完毕且无违约情形下，10个工作日内全额无息退还；若出现部分违约，可按违约比例扣除相应保证金后退还剩余部分。</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说明：1.中标供应商应在10日内一次性缴纳履约保证金； 2.在合同履行完毕且无违约情形下，10个工作日内全额无息退还；若出现部分违约，可按违约比例扣除相应保证金后退还剩余部分。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代理服务费收费标准：本项目代理服务费按国家计委《招标代理服务费管理暂行办法》（计价格[2002]1980号）、发改价格（2003）857号文件规定的收费标准以中标金额作为计算基数计取。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城固县水利局</w:t>
      </w:r>
      <w:r>
        <w:rPr>
          <w:rFonts w:ascii="仿宋_GB2312" w:hAnsi="仿宋_GB2312" w:cs="仿宋_GB2312" w:eastAsia="仿宋_GB2312"/>
        </w:rPr>
        <w:t>和</w:t>
      </w:r>
      <w:r>
        <w:rPr>
          <w:rFonts w:ascii="仿宋_GB2312" w:hAnsi="仿宋_GB2312" w:cs="仿宋_GB2312" w:eastAsia="仿宋_GB2312"/>
        </w:rPr>
        <w:t>陕西丰德项目管理有限公司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城固县水利局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陕西丰德项目管理有限公司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陕西丰德项目管理有限公司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符合国家、省市及行业相关合格标准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联系人：孙轩</w:t>
      </w:r>
    </w:p>
    <w:p>
      <w:pPr>
        <w:pStyle w:val="null3"/>
      </w:pPr>
      <w:r>
        <w:rPr>
          <w:rFonts w:ascii="仿宋_GB2312" w:hAnsi="仿宋_GB2312" w:cs="仿宋_GB2312" w:eastAsia="仿宋_GB2312"/>
        </w:rPr>
        <w:t>联系电话：029-88813539</w:t>
      </w:r>
    </w:p>
    <w:p>
      <w:pPr>
        <w:pStyle w:val="null3"/>
      </w:pPr>
      <w:r>
        <w:rPr>
          <w:rFonts w:ascii="仿宋_GB2312" w:hAnsi="仿宋_GB2312" w:cs="仿宋_GB2312" w:eastAsia="仿宋_GB2312"/>
        </w:rPr>
        <w:t>地址：陕西省西安市雁塔区天地源悦熙广场2号楼19层11901室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南沙河、文川河、堰沟河等14条中小河流洪水淹没风险分析，绘制洪水淹没风险图；对62座县管小型水库进行溃坝风险分析，绘制水库溃坝风险图；对全县11个镇45个村2016户受威胁家庭安装入户预警呼叫终端，配套建设45个村级预警监测站点，对上井沟等11座二类坝设置大坝位移变形监测站33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4,050,000.00</w:t>
      </w:r>
    </w:p>
    <w:p>
      <w:pPr>
        <w:pStyle w:val="null3"/>
      </w:pPr>
      <w:r>
        <w:rPr>
          <w:rFonts w:ascii="仿宋_GB2312" w:hAnsi="仿宋_GB2312" w:cs="仿宋_GB2312" w:eastAsia="仿宋_GB2312"/>
        </w:rPr>
        <w:t>采购包最高限价（元）: 4,050,000.00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城固县2025年中小河流洪水淹没和小型水库溃坝风险图编制项目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3,700,000.00</w:t>
      </w:r>
    </w:p>
    <w:p>
      <w:pPr>
        <w:pStyle w:val="null3"/>
      </w:pPr>
      <w:r>
        <w:rPr>
          <w:rFonts w:ascii="仿宋_GB2312" w:hAnsi="仿宋_GB2312" w:cs="仿宋_GB2312" w:eastAsia="仿宋_GB2312"/>
        </w:rPr>
        <w:t>采购包最高限价（元）: 3,700,000.00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城固县2025年山洪灾害风险区预警呼叫终端及预警监测、大坝位移监测项目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标的名称：城固县2025年中小河流洪水淹没和小型水库溃坝风险图编制项目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项目建设内容：（一）对南沙河、文川河堰沟河、小河、东河、砖溪河、北溪河、板凳河、石槽河、桃园河、五郎河、姜子河、大沙河、沙河等14条中小河流开展洪水淹没风险分析，绘制高精度洪水淹没风险图:</w:t>
            </w:r>
          </w:p>
          <w:p>
            <w:pPr>
              <w:pStyle w:val="null3"/>
              <w:jc w:val="left"/>
            </w:pPr>
            <w:r>
              <w:rPr>
                <w:rFonts w:ascii="仿宋_GB2312" w:hAnsi="仿宋_GB2312" w:cs="仿宋_GB2312" w:eastAsia="仿宋_GB2312"/>
                <w:sz w:val="21"/>
              </w:rPr>
              <w:t>(二)对62座县属水库进行溃坝风险分析，评估不同工况下水库溃坝的可能性和影响范围，绘制水库溃坝风险图;</w:t>
            </w:r>
          </w:p>
          <w:p>
            <w:pPr>
              <w:pStyle w:val="null3"/>
              <w:jc w:val="left"/>
            </w:pPr>
            <w:r>
              <w:rPr>
                <w:rFonts w:ascii="仿宋_GB2312" w:hAnsi="仿宋_GB2312" w:cs="仿宋_GB2312" w:eastAsia="仿宋_GB2312"/>
                <w:sz w:val="21"/>
              </w:rPr>
              <w:t>三、相关规范</w:t>
            </w:r>
          </w:p>
          <w:p>
            <w:pPr>
              <w:pStyle w:val="null3"/>
              <w:jc w:val="left"/>
            </w:pPr>
            <w:r>
              <w:rPr>
                <w:rFonts w:ascii="仿宋_GB2312" w:hAnsi="仿宋_GB2312" w:cs="仿宋_GB2312" w:eastAsia="仿宋_GB2312"/>
                <w:sz w:val="21"/>
              </w:rPr>
              <w:t>（1）《洪水风险图编制导则》（SL483-2017）；</w:t>
            </w:r>
          </w:p>
          <w:p>
            <w:pPr>
              <w:pStyle w:val="null3"/>
              <w:jc w:val="left"/>
            </w:pPr>
            <w:r>
              <w:rPr>
                <w:rFonts w:ascii="仿宋_GB2312" w:hAnsi="仿宋_GB2312" w:cs="仿宋_GB2312" w:eastAsia="仿宋_GB2312"/>
                <w:sz w:val="21"/>
              </w:rPr>
              <w:t>（2）《洪水风险图编制与专项评估技术要求》（2024年5月）；</w:t>
            </w:r>
          </w:p>
          <w:p>
            <w:pPr>
              <w:pStyle w:val="null3"/>
              <w:jc w:val="left"/>
            </w:pPr>
            <w:r>
              <w:rPr>
                <w:rFonts w:ascii="仿宋_GB2312" w:hAnsi="仿宋_GB2312" w:cs="仿宋_GB2312" w:eastAsia="仿宋_GB2312"/>
                <w:sz w:val="21"/>
              </w:rPr>
              <w:t>（3）《洪水风险图地图数据分类、编码与数据表结构（试行）》；</w:t>
            </w:r>
          </w:p>
          <w:p>
            <w:pPr>
              <w:pStyle w:val="null3"/>
              <w:jc w:val="left"/>
            </w:pPr>
            <w:r>
              <w:rPr>
                <w:rFonts w:ascii="仿宋_GB2312" w:hAnsi="仿宋_GB2312" w:cs="仿宋_GB2312" w:eastAsia="仿宋_GB2312"/>
                <w:sz w:val="21"/>
              </w:rPr>
              <w:t>（4）《洪水风险图编制费用测算方法（第二版）》；</w:t>
            </w:r>
          </w:p>
          <w:p>
            <w:pPr>
              <w:pStyle w:val="null3"/>
              <w:jc w:val="left"/>
            </w:pPr>
            <w:r>
              <w:rPr>
                <w:rFonts w:ascii="仿宋_GB2312" w:hAnsi="仿宋_GB2312" w:cs="仿宋_GB2312" w:eastAsia="仿宋_GB2312"/>
                <w:sz w:val="21"/>
              </w:rPr>
              <w:t>（5）《防洪标准》（GB 50201-2014）；</w:t>
            </w:r>
          </w:p>
          <w:p>
            <w:pPr>
              <w:pStyle w:val="null3"/>
              <w:jc w:val="left"/>
            </w:pPr>
            <w:r>
              <w:rPr>
                <w:rFonts w:ascii="仿宋_GB2312" w:hAnsi="仿宋_GB2312" w:cs="仿宋_GB2312" w:eastAsia="仿宋_GB2312"/>
                <w:sz w:val="21"/>
              </w:rPr>
              <w:t>（6）《国家基本比例尺地图图式 第2部分：1:5000 1:10000地形图图式》（GB/T20257.2）；</w:t>
            </w:r>
          </w:p>
          <w:p>
            <w:pPr>
              <w:pStyle w:val="null3"/>
              <w:jc w:val="left"/>
            </w:pPr>
            <w:r>
              <w:rPr>
                <w:rFonts w:ascii="仿宋_GB2312" w:hAnsi="仿宋_GB2312" w:cs="仿宋_GB2312" w:eastAsia="仿宋_GB2312"/>
                <w:sz w:val="21"/>
              </w:rPr>
              <w:t>（7）《工程测量标准》（GB50026-2020）。</w:t>
            </w:r>
          </w:p>
          <w:p>
            <w:pPr>
              <w:pStyle w:val="null3"/>
              <w:jc w:val="left"/>
            </w:pPr>
            <w:r>
              <w:rPr>
                <w:rFonts w:ascii="仿宋_GB2312" w:hAnsi="仿宋_GB2312" w:cs="仿宋_GB2312" w:eastAsia="仿宋_GB2312"/>
                <w:sz w:val="21"/>
              </w:rPr>
              <w:t>五、相关规划</w:t>
            </w:r>
          </w:p>
          <w:p>
            <w:pPr>
              <w:pStyle w:val="null3"/>
              <w:jc w:val="left"/>
            </w:pPr>
            <w:r>
              <w:rPr>
                <w:rFonts w:ascii="仿宋_GB2312" w:hAnsi="仿宋_GB2312" w:cs="仿宋_GB2312" w:eastAsia="仿宋_GB2312"/>
                <w:sz w:val="21"/>
              </w:rPr>
              <w:t>（1）《中华人民共和国国民经济和社会发展第十四个五年规划和2035年远景目标纲要》；</w:t>
            </w:r>
          </w:p>
          <w:p>
            <w:pPr>
              <w:pStyle w:val="null3"/>
              <w:jc w:val="left"/>
            </w:pPr>
            <w:r>
              <w:rPr>
                <w:rFonts w:ascii="仿宋_GB2312" w:hAnsi="仿宋_GB2312" w:cs="仿宋_GB2312" w:eastAsia="仿宋_GB2312"/>
                <w:sz w:val="21"/>
              </w:rPr>
              <w:t>（2）《国家水网建设规划纲要》；</w:t>
            </w:r>
          </w:p>
          <w:p>
            <w:pPr>
              <w:pStyle w:val="null3"/>
              <w:jc w:val="left"/>
            </w:pPr>
            <w:r>
              <w:rPr>
                <w:rFonts w:ascii="仿宋_GB2312" w:hAnsi="仿宋_GB2312" w:cs="仿宋_GB2312" w:eastAsia="仿宋_GB2312"/>
                <w:sz w:val="21"/>
              </w:rPr>
              <w:t>（3）《“十四五”国家应急体系规划》；</w:t>
            </w:r>
          </w:p>
          <w:p>
            <w:pPr>
              <w:pStyle w:val="null3"/>
              <w:jc w:val="left"/>
            </w:pPr>
            <w:r>
              <w:rPr>
                <w:rFonts w:ascii="仿宋_GB2312" w:hAnsi="仿宋_GB2312" w:cs="仿宋_GB2312" w:eastAsia="仿宋_GB2312"/>
                <w:sz w:val="21"/>
              </w:rPr>
              <w:t>（4）《“十四五”国家综合防灾减灾规划》；</w:t>
            </w:r>
          </w:p>
          <w:p>
            <w:pPr>
              <w:pStyle w:val="null3"/>
              <w:jc w:val="left"/>
            </w:pPr>
            <w:r>
              <w:rPr>
                <w:rFonts w:ascii="仿宋_GB2312" w:hAnsi="仿宋_GB2312" w:cs="仿宋_GB2312" w:eastAsia="仿宋_GB2312"/>
                <w:sz w:val="21"/>
              </w:rPr>
              <w:t>（5）《全国国土空间规划纲要(2021-2035年)》；</w:t>
            </w:r>
          </w:p>
          <w:p>
            <w:pPr>
              <w:pStyle w:val="null3"/>
              <w:jc w:val="left"/>
            </w:pPr>
            <w:r>
              <w:rPr>
                <w:rFonts w:ascii="仿宋_GB2312" w:hAnsi="仿宋_GB2312" w:cs="仿宋_GB2312" w:eastAsia="仿宋_GB2312"/>
                <w:sz w:val="21"/>
              </w:rPr>
              <w:t>（6）《“十四五”水安全保障规划》；</w:t>
            </w:r>
          </w:p>
          <w:p>
            <w:pPr>
              <w:pStyle w:val="null3"/>
              <w:jc w:val="left"/>
            </w:pPr>
            <w:r>
              <w:rPr>
                <w:rFonts w:ascii="仿宋_GB2312" w:hAnsi="仿宋_GB2312" w:cs="仿宋_GB2312" w:eastAsia="仿宋_GB2312"/>
                <w:sz w:val="21"/>
              </w:rPr>
              <w:t>（7）《全国中小河流治理和病险水库除险加固、山洪地质灾害防御和综合整治总体规划》；</w:t>
            </w:r>
          </w:p>
          <w:p>
            <w:pPr>
              <w:pStyle w:val="null3"/>
              <w:jc w:val="left"/>
            </w:pPr>
            <w:r>
              <w:rPr>
                <w:rFonts w:ascii="仿宋_GB2312" w:hAnsi="仿宋_GB2312" w:cs="仿宋_GB2312" w:eastAsia="仿宋_GB2312"/>
                <w:sz w:val="21"/>
              </w:rPr>
              <w:t>（8）《陕西省防汛应急预案》（2022年）；</w:t>
            </w:r>
          </w:p>
          <w:p>
            <w:pPr>
              <w:pStyle w:val="null3"/>
              <w:jc w:val="left"/>
            </w:pPr>
            <w:r>
              <w:rPr>
                <w:rFonts w:ascii="仿宋_GB2312" w:hAnsi="仿宋_GB2312" w:cs="仿宋_GB2312" w:eastAsia="仿宋_GB2312"/>
                <w:sz w:val="21"/>
              </w:rPr>
              <w:t>（9）《陕西省水网建设规划》（2023年）；</w:t>
            </w:r>
          </w:p>
          <w:p>
            <w:pPr>
              <w:pStyle w:val="null3"/>
              <w:jc w:val="left"/>
            </w:pPr>
            <w:r>
              <w:rPr>
                <w:rFonts w:ascii="仿宋_GB2312" w:hAnsi="仿宋_GB2312" w:cs="仿宋_GB2312" w:eastAsia="仿宋_GB2312"/>
                <w:sz w:val="21"/>
              </w:rPr>
              <w:t>（10）《陕西省“十四五”水利发展规划》；</w:t>
            </w:r>
          </w:p>
          <w:p>
            <w:pPr>
              <w:pStyle w:val="null3"/>
              <w:jc w:val="left"/>
            </w:pPr>
            <w:r>
              <w:rPr>
                <w:rFonts w:ascii="仿宋_GB2312" w:hAnsi="仿宋_GB2312" w:cs="仿宋_GB2312" w:eastAsia="仿宋_GB2312"/>
                <w:sz w:val="21"/>
              </w:rPr>
              <w:t>（11）《陕西省渭河流域综合规划》；</w:t>
            </w:r>
          </w:p>
          <w:p>
            <w:pPr>
              <w:pStyle w:val="null3"/>
              <w:jc w:val="left"/>
            </w:pPr>
            <w:r>
              <w:rPr>
                <w:rFonts w:ascii="仿宋_GB2312" w:hAnsi="仿宋_GB2312" w:cs="仿宋_GB2312" w:eastAsia="仿宋_GB2312"/>
                <w:sz w:val="21"/>
              </w:rPr>
              <w:t>（12）《陕西省北洛河流域综合规划》；</w:t>
            </w:r>
          </w:p>
          <w:p>
            <w:pPr>
              <w:pStyle w:val="null3"/>
              <w:jc w:val="left"/>
            </w:pPr>
            <w:r>
              <w:rPr>
                <w:rFonts w:ascii="仿宋_GB2312" w:hAnsi="仿宋_GB2312" w:cs="仿宋_GB2312" w:eastAsia="仿宋_GB2312"/>
                <w:sz w:val="21"/>
              </w:rPr>
              <w:t>（13）陕西省水旱灾害风险普查成果；</w:t>
            </w:r>
          </w:p>
          <w:p>
            <w:pPr>
              <w:pStyle w:val="null3"/>
              <w:jc w:val="left"/>
            </w:pPr>
            <w:r>
              <w:rPr>
                <w:rFonts w:ascii="仿宋_GB2312" w:hAnsi="仿宋_GB2312" w:cs="仿宋_GB2312" w:eastAsia="仿宋_GB2312"/>
                <w:sz w:val="21"/>
              </w:rPr>
              <w:t>（14）陕西省河流划界成果；</w:t>
            </w:r>
          </w:p>
          <w:p>
            <w:pPr>
              <w:pStyle w:val="null3"/>
              <w:jc w:val="both"/>
            </w:pPr>
            <w:r>
              <w:rPr>
                <w:rFonts w:ascii="仿宋_GB2312" w:hAnsi="仿宋_GB2312" w:cs="仿宋_GB2312" w:eastAsia="仿宋_GB2312"/>
                <w:sz w:val="21"/>
              </w:rPr>
              <w:t>（15）陕西省河流岸线保护与利用规划成果。</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标的名称：城固县2025年山洪灾害风险区预警呼叫终端及预警监测、大坝位移监测项目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一、项目概况：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w:t>
            </w:r>
            <w:r>
              <w:rPr>
                <w:rFonts w:ascii="仿宋_GB2312" w:hAnsi="仿宋_GB2312" w:cs="仿宋_GB2312" w:eastAsia="仿宋_GB2312"/>
                <w:sz w:val="21"/>
                <w:color w:val="000000"/>
              </w:rPr>
              <w:t>为</w:t>
            </w:r>
            <w:r>
              <w:rPr>
                <w:rFonts w:ascii="仿宋_GB2312" w:hAnsi="仿宋_GB2312" w:cs="仿宋_GB2312" w:eastAsia="仿宋_GB2312"/>
                <w:sz w:val="21"/>
                <w:color w:val="000000"/>
              </w:rPr>
              <w:t>全县</w:t>
            </w:r>
            <w:r>
              <w:rPr>
                <w:rFonts w:ascii="仿宋_GB2312" w:hAnsi="仿宋_GB2312" w:cs="仿宋_GB2312" w:eastAsia="仿宋_GB2312"/>
                <w:sz w:val="21"/>
                <w:color w:val="000000"/>
              </w:rPr>
              <w:t>11</w:t>
            </w:r>
            <w:r>
              <w:rPr>
                <w:rFonts w:ascii="仿宋_GB2312" w:hAnsi="仿宋_GB2312" w:cs="仿宋_GB2312" w:eastAsia="仿宋_GB2312"/>
                <w:sz w:val="21"/>
                <w:color w:val="000000"/>
              </w:rPr>
              <w:t>个镇</w:t>
            </w:r>
            <w:r>
              <w:rPr>
                <w:rFonts w:ascii="仿宋_GB2312" w:hAnsi="仿宋_GB2312" w:cs="仿宋_GB2312" w:eastAsia="仿宋_GB2312"/>
                <w:sz w:val="21"/>
                <w:color w:val="000000"/>
              </w:rPr>
              <w:t>45</w:t>
            </w:r>
            <w:r>
              <w:rPr>
                <w:rFonts w:ascii="仿宋_GB2312" w:hAnsi="仿宋_GB2312" w:cs="仿宋_GB2312" w:eastAsia="仿宋_GB2312"/>
                <w:sz w:val="21"/>
                <w:color w:val="000000"/>
              </w:rPr>
              <w:t>个村山洪灾害风险区</w:t>
            </w:r>
            <w:r>
              <w:rPr>
                <w:rFonts w:ascii="仿宋_GB2312" w:hAnsi="仿宋_GB2312" w:cs="仿宋_GB2312" w:eastAsia="仿宋_GB2312"/>
                <w:sz w:val="21"/>
                <w:color w:val="000000"/>
              </w:rPr>
              <w:t>2016</w:t>
            </w:r>
            <w:r>
              <w:rPr>
                <w:rFonts w:ascii="仿宋_GB2312" w:hAnsi="仿宋_GB2312" w:cs="仿宋_GB2312" w:eastAsia="仿宋_GB2312"/>
                <w:sz w:val="21"/>
                <w:color w:val="000000"/>
              </w:rPr>
              <w:t>户</w:t>
            </w:r>
            <w:r>
              <w:rPr>
                <w:rFonts w:ascii="仿宋_GB2312" w:hAnsi="仿宋_GB2312" w:cs="仿宋_GB2312" w:eastAsia="仿宋_GB2312"/>
                <w:sz w:val="21"/>
                <w:color w:val="000000"/>
              </w:rPr>
              <w:t>受威胁家庭安装入户预警呼叫终端，确保居民能及时接收灾害预警信息同时，配套建设45个村级预警监测站点，实时监测山洪灾害相关数据。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）堰沟河、大湾沟、李家湾、蚂蝗滩、三岔沟、法龙寺、堵山、上井沟、寺沟河、邬家堰、寨沟11座二类坝设置 33处大坝位移变形监测站，对大坝运行状态进行监测。</w:t>
            </w:r>
          </w:p>
          <w:p>
            <w:pPr>
              <w:pStyle w:val="null3"/>
              <w:jc w:val="left"/>
            </w:pPr>
            <w:r>
              <w:rPr>
                <w:rFonts w:ascii="仿宋_GB2312" w:hAnsi="仿宋_GB2312" w:cs="仿宋_GB2312" w:eastAsia="仿宋_GB2312"/>
                <w:sz w:val="21"/>
                <w:color w:val="000000"/>
              </w:rPr>
              <w:t>二、工作清单内容</w:t>
            </w:r>
          </w:p>
          <w:tbl>
            <w:tblPr>
              <w:tblBorders>
                <w:top w:val="single"/>
                <w:left w:val="single"/>
                <w:bottom w:val="single"/>
                <w:right w:val="single"/>
                <w:insideH w:val="single"/>
                <w:insideV w:val="single"/>
              </w:tblBorders>
            </w:tblPr>
            <w:tblGrid>
              <w:gridCol w:w="132"/>
              <w:gridCol w:w="443"/>
              <w:gridCol w:w="1283"/>
              <w:gridCol w:w="144"/>
              <w:gridCol w:w="141"/>
              <w:gridCol w:w="407"/>
            </w:tblGrid>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序号</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名称</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主要技术要求</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单位</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数量</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备注</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山洪灾害现地声光电监测报警站（专业款）</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雷达水位计</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测量原理：脉冲过程 ；工作频率：≥26GHz 量程：0-35m；模拟信号输出：4-20mA;数字信号输出：RS-485；发射角度：≤5° 精度：士3mm 输出电流:4-20mA；工作电压：12VDC 防护等级≥IP66</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翻斗式雨量计</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承雨口内径：Φ200+0.6mm 分辨率：≤0.5mm 测量范围：0.01~4mm/min（允许通过最大雨强8mm/min）</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球型网络摄像机</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类型：球机  尺寸：≥4寸 分辨率：≥200万像素 镜头：≥光学23倍变焦  通讯：4G全网通 红外夜视：距离≥100米 防护等级：≥IP66 支持TF卡存储，含256G内存卡及吊装支架。支持Ehome协议并接入县级安防平台及设备厂家监测管理云平台及手机APP。(含3年设备通信费)</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1.4</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遥测终端RTU</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可支持同时采集水位、流速、流量、雨量、渗压、渗流等信息，具备图像视频采集功能，具备以太网、4G全网通、北斗、LoRa等多种方式的发送和接收传输功能，通信协议需支持接入现有县级水利信息化管理平台并接入设备厂家监测管理云平台及手机APP。（含3年设备通信费）</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1.5</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太阳能光伏板</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尺寸：长x宽x高≥580*960*30mm 电池片：A级10栅线 峰值电压：18V  峰值功率：≥100w  防护等级：≥IP65  工作温度：-40°C至85°含太阳能安装支架 </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1.6</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蓄电池</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电池类型：胶体蓄电池 电压：12V 容量：≥120AH</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1.7</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有源喇叭</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数量2个 额定电压：12V 功率：≥50W  分贝：≥130dB 内置功放模块、带报警触发及自定义报警语音  </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1.8</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LED报警灯</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颜色：红色旋转报警灯  额定电压：DC12/24V 功率：10W</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1.9</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LED显示屏</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红色发光体，64×64点阵，间距：P5 刷新率:≥600Hz 显示尺寸：长X宽≥360*600mm</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1.10</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太阳能充电控制器</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系统电压：12V;系统电流：6A、10A；</w:t>
                  </w:r>
                  <w:r>
                    <w:br/>
                  </w:r>
                  <w:r>
                    <w:rPr>
                      <w:rFonts w:ascii="仿宋_GB2312" w:hAnsi="仿宋_GB2312" w:cs="仿宋_GB2312" w:eastAsia="仿宋_GB2312"/>
                      <w:sz w:val="21"/>
                      <w:color w:val="000000"/>
                    </w:rPr>
                    <w:t xml:space="preserve"> 空载损耗：&lt;5mA;太阳能输入电压：&lt;55V；超压保护：17.0V；</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设备立杆</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材质：镀锌钢管 管径≥110mm，壁厚≥4mm，高4m；横臂：管径DN40，长2m；含雨量筒、水位计安装平台,整体白色喷涂。</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1.12</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设备防水箱</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尺寸： 长x宽x高≥550*400*300mm，用≥ 1.5mm厚度 的 304 不锈钢板制作并进行表面白色喷塑，喷涂“城固水利”等相关标识。 </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避雷及接地</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避雷针材质：镀锌钢 直径：≥19mm 高度：≥1200MM 避雷针接地电阻应符合国家标准，电阻≤10Ω，含防雷浪涌保护器</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1.14</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混凝土基础</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C25混凝土 尺寸：长x宽x高≥800*800*800mm  预埋件尺寸不小于300*300*800mm 含预埋钢筋地笼及基槽开挖</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1.15</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安装及辅材</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设备安装、线缆、埋管、仪器整平校准、人工注水实验、数据准</w:t>
                  </w:r>
                  <w:r>
                    <w:br/>
                  </w:r>
                  <w:r>
                    <w:rPr>
                      <w:rFonts w:ascii="仿宋_GB2312" w:hAnsi="仿宋_GB2312" w:cs="仿宋_GB2312" w:eastAsia="仿宋_GB2312"/>
                      <w:sz w:val="21"/>
                      <w:color w:val="000000"/>
                    </w:rPr>
                    <w:t xml:space="preserve"> 确性复核等</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处</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2</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入户型预警叫应终端</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防汛呼叫器</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外接电源：DC12V/3A；</w:t>
                  </w:r>
                  <w:r>
                    <w:br/>
                  </w:r>
                  <w:r>
                    <w:rPr>
                      <w:rFonts w:ascii="仿宋_GB2312" w:hAnsi="仿宋_GB2312" w:cs="仿宋_GB2312" w:eastAsia="仿宋_GB2312"/>
                      <w:sz w:val="21"/>
                      <w:color w:val="000000"/>
                    </w:rPr>
                    <w:t xml:space="preserve"> 公网通信：支持4G全网通；</w:t>
                  </w:r>
                  <w:r>
                    <w:br/>
                  </w:r>
                  <w:r>
                    <w:rPr>
                      <w:rFonts w:ascii="仿宋_GB2312" w:hAnsi="仿宋_GB2312" w:cs="仿宋_GB2312" w:eastAsia="仿宋_GB2312"/>
                      <w:sz w:val="21"/>
                      <w:color w:val="000000"/>
                    </w:rPr>
                    <w:t xml:space="preserve"> 应急通信：支持近地无线MESH自组网；</w:t>
                  </w:r>
                  <w:r>
                    <w:br/>
                  </w:r>
                  <w:r>
                    <w:rPr>
                      <w:rFonts w:ascii="仿宋_GB2312" w:hAnsi="仿宋_GB2312" w:cs="仿宋_GB2312" w:eastAsia="仿宋_GB2312"/>
                      <w:sz w:val="21"/>
                      <w:color w:val="000000"/>
                    </w:rPr>
                    <w:t xml:space="preserve"> 组网机制：内置AODV协议栈，最大10跳接力传输；</w:t>
                  </w:r>
                  <w:r>
                    <w:br/>
                  </w:r>
                  <w:r>
                    <w:rPr>
                      <w:rFonts w:ascii="仿宋_GB2312" w:hAnsi="仿宋_GB2312" w:cs="仿宋_GB2312" w:eastAsia="仿宋_GB2312"/>
                      <w:sz w:val="21"/>
                      <w:color w:val="000000"/>
                    </w:rPr>
                    <w:t xml:space="preserve"> 扬声器功率：≥2W；</w:t>
                  </w:r>
                  <w:r>
                    <w:br/>
                  </w:r>
                  <w:r>
                    <w:rPr>
                      <w:rFonts w:ascii="仿宋_GB2312" w:hAnsi="仿宋_GB2312" w:cs="仿宋_GB2312" w:eastAsia="仿宋_GB2312"/>
                      <w:sz w:val="21"/>
                      <w:color w:val="000000"/>
                    </w:rPr>
                    <w:t xml:space="preserve"> 话筒输入：输入幅度&gt;2mv，阻抗600Ω；</w:t>
                  </w:r>
                  <w:r>
                    <w:br/>
                  </w:r>
                  <w:r>
                    <w:rPr>
                      <w:rFonts w:ascii="仿宋_GB2312" w:hAnsi="仿宋_GB2312" w:cs="仿宋_GB2312" w:eastAsia="仿宋_GB2312"/>
                      <w:sz w:val="21"/>
                      <w:color w:val="000000"/>
                    </w:rPr>
                    <w:t xml:space="preserve"> 内置电池：容量≥2000mAh.</w:t>
                  </w:r>
                  <w:r>
                    <w:br/>
                  </w:r>
                  <w:r>
                    <w:rPr>
                      <w:rFonts w:ascii="仿宋_GB2312" w:hAnsi="仿宋_GB2312" w:cs="仿宋_GB2312" w:eastAsia="仿宋_GB2312"/>
                      <w:sz w:val="21"/>
                      <w:color w:val="000000"/>
                    </w:rPr>
                    <w:t xml:space="preserve"> 工作温度：0~45℃；</w:t>
                  </w:r>
                  <w:r>
                    <w:br/>
                  </w:r>
                  <w:r>
                    <w:rPr>
                      <w:rFonts w:ascii="仿宋_GB2312" w:hAnsi="仿宋_GB2312" w:cs="仿宋_GB2312" w:eastAsia="仿宋_GB2312"/>
                      <w:sz w:val="21"/>
                      <w:color w:val="000000"/>
                    </w:rPr>
                    <w:t xml:space="preserve"> 功能要求：1、语音呼叫：具有语音呼叫功能，支持以户为单位进行单呼和以组为单位进行组呼；2、一键报警：可通过近地无线MESH自组网按键触发紧急报警；3、叫应留痕：对每一次叫应操作存储叫应时间、被叫对象、叫应状态信息；4、呼叫记录：可查看终端编码、呼叫时间、送达状态等呼叫记录信息；5、叫应管理：可展示同组内的一呼百应户户通设备值守、报警、应答状态；6、权限控制：具有呼叫权限控制，可根按需配置呼叫范围；7、备用电源：内置可充电备用电池，停电后可无缝切换.</w:t>
                  </w:r>
                  <w:r>
                    <w:br/>
                  </w:r>
                  <w:r>
                    <w:rPr>
                      <w:rFonts w:ascii="仿宋_GB2312" w:hAnsi="仿宋_GB2312" w:cs="仿宋_GB2312" w:eastAsia="仿宋_GB2312"/>
                      <w:sz w:val="21"/>
                      <w:color w:val="000000"/>
                    </w:rPr>
                    <w:t xml:space="preserve"> 其他要求：含3年设备通信费并接入设备厂家监测管理云平台及手机APP</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45</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32"/>
              <w:gridCol w:w="443"/>
              <w:gridCol w:w="1283"/>
              <w:gridCol w:w="144"/>
              <w:gridCol w:w="141"/>
              <w:gridCol w:w="407"/>
            </w:tblGrid>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2.2</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报警应答器</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电源规格：DC5V/1A；</w:t>
                  </w:r>
                  <w:r>
                    <w:br/>
                  </w:r>
                  <w:r>
                    <w:rPr>
                      <w:rFonts w:ascii="仿宋_GB2312" w:hAnsi="仿宋_GB2312" w:cs="仿宋_GB2312" w:eastAsia="仿宋_GB2312"/>
                      <w:sz w:val="21"/>
                      <w:color w:val="000000"/>
                    </w:rPr>
                    <w:t xml:space="preserve"> 供电接口：Type-C；</w:t>
                  </w:r>
                  <w:r>
                    <w:br/>
                  </w:r>
                  <w:r>
                    <w:rPr>
                      <w:rFonts w:ascii="仿宋_GB2312" w:hAnsi="仿宋_GB2312" w:cs="仿宋_GB2312" w:eastAsia="仿宋_GB2312"/>
                      <w:sz w:val="21"/>
                      <w:color w:val="000000"/>
                    </w:rPr>
                    <w:t xml:space="preserve"> 内置电池：容量≥500mAh；</w:t>
                  </w:r>
                  <w:r>
                    <w:br/>
                  </w:r>
                  <w:r>
                    <w:rPr>
                      <w:rFonts w:ascii="仿宋_GB2312" w:hAnsi="仿宋_GB2312" w:cs="仿宋_GB2312" w:eastAsia="仿宋_GB2312"/>
                      <w:sz w:val="21"/>
                      <w:color w:val="000000"/>
                    </w:rPr>
                    <w:t xml:space="preserve"> 通讯方式：支持近地无线MESH自组网和4G通信；</w:t>
                  </w:r>
                  <w:r>
                    <w:br/>
                  </w:r>
                  <w:r>
                    <w:rPr>
                      <w:rFonts w:ascii="仿宋_GB2312" w:hAnsi="仿宋_GB2312" w:cs="仿宋_GB2312" w:eastAsia="仿宋_GB2312"/>
                      <w:sz w:val="21"/>
                      <w:color w:val="000000"/>
                    </w:rPr>
                    <w:t xml:space="preserve"> 组网机制：内置AODV协议栈，最大10跳接力传输；</w:t>
                  </w:r>
                  <w:r>
                    <w:br/>
                  </w:r>
                  <w:r>
                    <w:rPr>
                      <w:rFonts w:ascii="仿宋_GB2312" w:hAnsi="仿宋_GB2312" w:cs="仿宋_GB2312" w:eastAsia="仿宋_GB2312"/>
                      <w:sz w:val="21"/>
                      <w:color w:val="000000"/>
                    </w:rPr>
                    <w:t xml:space="preserve"> 天线类型：内置一体化多模多频天线；</w:t>
                  </w:r>
                  <w:r>
                    <w:br/>
                  </w:r>
                  <w:r>
                    <w:rPr>
                      <w:rFonts w:ascii="仿宋_GB2312" w:hAnsi="仿宋_GB2312" w:cs="仿宋_GB2312" w:eastAsia="仿宋_GB2312"/>
                      <w:sz w:val="21"/>
                      <w:color w:val="000000"/>
                    </w:rPr>
                    <w:t xml:space="preserve"> 警灯规格：七彩环形警灯，直径＞100mm；</w:t>
                  </w:r>
                  <w:r>
                    <w:br/>
                  </w:r>
                  <w:r>
                    <w:rPr>
                      <w:rFonts w:ascii="仿宋_GB2312" w:hAnsi="仿宋_GB2312" w:cs="仿宋_GB2312" w:eastAsia="仿宋_GB2312"/>
                      <w:sz w:val="21"/>
                      <w:color w:val="000000"/>
                    </w:rPr>
                    <w:t xml:space="preserve"> 主机尺寸：≥120mm×120mm；</w:t>
                  </w:r>
                  <w:r>
                    <w:br/>
                  </w:r>
                  <w:r>
                    <w:rPr>
                      <w:rFonts w:ascii="仿宋_GB2312" w:hAnsi="仿宋_GB2312" w:cs="仿宋_GB2312" w:eastAsia="仿宋_GB2312"/>
                      <w:sz w:val="21"/>
                      <w:color w:val="000000"/>
                    </w:rPr>
                    <w:t xml:space="preserve"> 扬声器功率：≥2W；</w:t>
                  </w:r>
                  <w:r>
                    <w:br/>
                  </w:r>
                  <w:r>
                    <w:rPr>
                      <w:rFonts w:ascii="仿宋_GB2312" w:hAnsi="仿宋_GB2312" w:cs="仿宋_GB2312" w:eastAsia="仿宋_GB2312"/>
                      <w:sz w:val="21"/>
                      <w:color w:val="000000"/>
                    </w:rPr>
                    <w:t xml:space="preserve"> 工作温度：0~45℃；</w:t>
                  </w:r>
                  <w:r>
                    <w:br/>
                  </w:r>
                  <w:r>
                    <w:rPr>
                      <w:rFonts w:ascii="仿宋_GB2312" w:hAnsi="仿宋_GB2312" w:cs="仿宋_GB2312" w:eastAsia="仿宋_GB2312"/>
                      <w:sz w:val="21"/>
                      <w:color w:val="000000"/>
                    </w:rPr>
                    <w:t xml:space="preserve"> 功能要求：1、工作模式：具有提示、提醒、警戒三种工作模式，可根据风险态势智能灵敏切换声光效果；2、声光报警：内置扬声器和环形警灯，支持语音、警笛、闪光报警，各工作模式下对应不同的前奏提示音；3、雨水提醒：支持接入现地监测数据，具有降雨、涨水提醒播报功能.4、一键应答：具有报警、消警反馈叫应机制，支持一键报警确认和误报消除；5、语音喊话：通过防汛呼叫器、手机APP、小程序进行语音喊话发布语音消息；6、远程管理：开机后无需任何操作即可连接管理平台，支持管理平台和小程序进行远程管理；7、备用电源：内置可充电备用电池，停电后可无缝切换。</w:t>
                  </w:r>
                  <w:r>
                    <w:br/>
                  </w:r>
                  <w:r>
                    <w:rPr>
                      <w:rFonts w:ascii="仿宋_GB2312" w:hAnsi="仿宋_GB2312" w:cs="仿宋_GB2312" w:eastAsia="仿宋_GB2312"/>
                      <w:sz w:val="21"/>
                      <w:color w:val="000000"/>
                    </w:rPr>
                    <w:t xml:space="preserve"> 其他要求：含3年设备通信费并接入设备厂家监测管理云平台及手机APP</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2016</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132"/>
              <w:gridCol w:w="443"/>
              <w:gridCol w:w="1283"/>
              <w:gridCol w:w="144"/>
              <w:gridCol w:w="141"/>
              <w:gridCol w:w="407"/>
            </w:tblGrid>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安装及辅材</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设备安装、线缆、仪器整平校准、数据准确性复核等</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处</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2061</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水库大坝变形监测站</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GNSS接收机</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静态精度 平面测量：±(2.5+1×10-6×D)mm</w:t>
                  </w:r>
                  <w:r>
                    <w:br/>
                  </w:r>
                  <w:r>
                    <w:rPr>
                      <w:rFonts w:ascii="仿宋_GB2312" w:hAnsi="仿宋_GB2312" w:cs="仿宋_GB2312" w:eastAsia="仿宋_GB2312"/>
                      <w:sz w:val="21"/>
                      <w:color w:val="000000"/>
                    </w:rPr>
                    <w:t xml:space="preserve">          高程测量：±(5.0+1×10-6×D)mm;</w:t>
                  </w:r>
                  <w:r>
                    <w:br/>
                  </w:r>
                  <w:r>
                    <w:rPr>
                      <w:rFonts w:ascii="仿宋_GB2312" w:hAnsi="仿宋_GB2312" w:cs="仿宋_GB2312" w:eastAsia="仿宋_GB2312"/>
                      <w:sz w:val="21"/>
                      <w:color w:val="000000"/>
                    </w:rPr>
                    <w:t xml:space="preserve"> 动态精度 平面测量：±(8.0+1×10-6×D)mm</w:t>
                  </w:r>
                  <w:r>
                    <w:br/>
                  </w:r>
                  <w:r>
                    <w:rPr>
                      <w:rFonts w:ascii="仿宋_GB2312" w:hAnsi="仿宋_GB2312" w:cs="仿宋_GB2312" w:eastAsia="仿宋_GB2312"/>
                      <w:sz w:val="21"/>
                      <w:color w:val="000000"/>
                    </w:rPr>
                    <w:t xml:space="preserve">          高程测量：±(15.0+1×10-6×D)mm</w:t>
                  </w:r>
                  <w:r>
                    <w:br/>
                  </w:r>
                  <w:r>
                    <w:rPr>
                      <w:rFonts w:ascii="仿宋_GB2312" w:hAnsi="仿宋_GB2312" w:cs="仿宋_GB2312" w:eastAsia="仿宋_GB2312"/>
                      <w:sz w:val="21"/>
                      <w:color w:val="000000"/>
                    </w:rPr>
                    <w:t xml:space="preserve"> 物理接口：RS232/RS485 串口、TNC 天线接口、SMA/4G;</w:t>
                  </w:r>
                  <w:r>
                    <w:br/>
                  </w:r>
                  <w:r>
                    <w:rPr>
                      <w:rFonts w:ascii="仿宋_GB2312" w:hAnsi="仿宋_GB2312" w:cs="仿宋_GB2312" w:eastAsia="仿宋_GB2312"/>
                      <w:sz w:val="21"/>
                      <w:color w:val="000000"/>
                    </w:rPr>
                    <w:t xml:space="preserve"> 通讯方式：4G全网通/TCP;</w:t>
                  </w:r>
                  <w:r>
                    <w:br/>
                  </w:r>
                  <w:r>
                    <w:rPr>
                      <w:rFonts w:ascii="仿宋_GB2312" w:hAnsi="仿宋_GB2312" w:cs="仿宋_GB2312" w:eastAsia="仿宋_GB2312"/>
                      <w:sz w:val="21"/>
                      <w:color w:val="000000"/>
                    </w:rPr>
                    <w:t xml:space="preserve"> 传输协议：TCP/IP、RS232/RS485;</w:t>
                  </w:r>
                  <w:r>
                    <w:br/>
                  </w:r>
                  <w:r>
                    <w:rPr>
                      <w:rFonts w:ascii="仿宋_GB2312" w:hAnsi="仿宋_GB2312" w:cs="仿宋_GB2312" w:eastAsia="仿宋_GB2312"/>
                      <w:sz w:val="21"/>
                      <w:color w:val="000000"/>
                    </w:rPr>
                    <w:t xml:space="preserve"> 数据类型：支持RTCM3.X原始数据；</w:t>
                  </w:r>
                  <w:r>
                    <w:br/>
                  </w:r>
                  <w:r>
                    <w:rPr>
                      <w:rFonts w:ascii="仿宋_GB2312" w:hAnsi="仿宋_GB2312" w:cs="仿宋_GB2312" w:eastAsia="仿宋_GB2312"/>
                      <w:sz w:val="21"/>
                      <w:color w:val="000000"/>
                    </w:rPr>
                    <w:t xml:space="preserve"> 工作电压：9～16V DC; 工作湿度：100%无冷凝；</w:t>
                  </w:r>
                  <w:r>
                    <w:br/>
                  </w:r>
                  <w:r>
                    <w:rPr>
                      <w:rFonts w:ascii="仿宋_GB2312" w:hAnsi="仿宋_GB2312" w:cs="仿宋_GB2312" w:eastAsia="仿宋_GB2312"/>
                      <w:sz w:val="21"/>
                      <w:color w:val="000000"/>
                    </w:rPr>
                    <w:t xml:space="preserve"> 防护等级：IP68; 工作温度：-40℃～+75℃；</w:t>
                  </w:r>
                  <w:r>
                    <w:br/>
                  </w:r>
                  <w:r>
                    <w:rPr>
                      <w:rFonts w:ascii="仿宋_GB2312" w:hAnsi="仿宋_GB2312" w:cs="仿宋_GB2312" w:eastAsia="仿宋_GB2312"/>
                      <w:sz w:val="21"/>
                      <w:color w:val="000000"/>
                    </w:rPr>
                    <w:t xml:space="preserve"> 工作功耗：平均功耗&lt;2W</w:t>
                  </w:r>
                  <w:r>
                    <w:br/>
                  </w:r>
                  <w:r>
                    <w:rPr>
                      <w:rFonts w:ascii="仿宋_GB2312" w:hAnsi="仿宋_GB2312" w:cs="仿宋_GB2312" w:eastAsia="仿宋_GB2312"/>
                      <w:sz w:val="21"/>
                      <w:color w:val="000000"/>
                    </w:rPr>
                    <w:t xml:space="preserve"> 其他要求：含3年设备通信费并接入设备厂家监测管理云平台及手机APP和省级水库管理平台。</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太阳能光伏板</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尺寸：长x宽x高≥580*960*30mm 电池片：A级10栅线 峰值电压：18V  峰值功率：≥100w  防护等级：≥IP65  工作温度：-40°C至85°含太阳能安装支架 </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3.4</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蓄电池</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电池类型：胶体蓄电池 电压：12V 容量：≥100AH</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3.5</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太阳能充电控制器</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系统电压：12V/24V;系统电流：6A、10A；</w:t>
                  </w:r>
                  <w:r>
                    <w:br/>
                  </w:r>
                  <w:r>
                    <w:rPr>
                      <w:rFonts w:ascii="仿宋_GB2312" w:hAnsi="仿宋_GB2312" w:cs="仿宋_GB2312" w:eastAsia="仿宋_GB2312"/>
                      <w:sz w:val="21"/>
                      <w:color w:val="000000"/>
                    </w:rPr>
                    <w:t xml:space="preserve"> 空载损耗：&lt;5mA;太阳能输入电压：&lt;55V；超压保护：17.0V；</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3.6</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GNSS立杆</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立杆采用高≥2.5m，外径110mm，壁厚≥4mm的镀锌钢管，整体白色喷涂</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设备防水箱</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尺寸: 长x宽x高≥550*400*300mm，用≥ 1.5mm厚度 的 304 不锈钢板制作并进行表面白色喷塑，喷涂“城固水利”等相关标识。 </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3.7</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避雷及接地</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避雷针材质：镀锌钢 直径：≥19mm 高度：≥1200MM 避雷针接地电阻应符合国家标准，电阻≤10Ω，含防雷浪涌保护器</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3.8</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GNSS 实时变形监测高精度解算软件</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支持 GNSS 卫星中的 GPS、GLONASS、北斗卫星系统的数据解算.软件具有 GNSS 基准站、监测站的管理功能，并自动完成数据采集、原始数据质量控制、环境误差建模、基线解算、变形量分析、数据存储与备份、数据远程推送等功能，实现无人值守全天候监测。</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项</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3.9</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混凝土基础</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C25混凝土 尺寸：长x宽x高≥800*800*800mm  预埋件尺寸不小于300*300*800mm 含预埋钢筋地笼及基槽开挖</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3.10</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安装及辅材</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设备安装、线缆、埋管、仪器整平校准、数据准</w:t>
                  </w:r>
                  <w:r>
                    <w:br/>
                  </w:r>
                  <w:r>
                    <w:rPr>
                      <w:rFonts w:ascii="仿宋_GB2312" w:hAnsi="仿宋_GB2312" w:cs="仿宋_GB2312" w:eastAsia="仿宋_GB2312"/>
                      <w:sz w:val="21"/>
                      <w:color w:val="000000"/>
                    </w:rPr>
                    <w:t xml:space="preserve"> 确性复核等</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处</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33</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4</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b/>
                      <w:color w:val="000000"/>
                    </w:rPr>
                    <w:t>村级简易雨量报警站</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4.1</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室外简易雨量站</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承雨口内径：Φ200+0.6mm 分辨率：≤0.5mm</w:t>
                  </w:r>
                  <w:r>
                    <w:br/>
                  </w:r>
                  <w:r>
                    <w:rPr>
                      <w:rFonts w:ascii="仿宋_GB2312" w:hAnsi="仿宋_GB2312" w:cs="仿宋_GB2312" w:eastAsia="仿宋_GB2312"/>
                      <w:sz w:val="21"/>
                      <w:color w:val="000000"/>
                    </w:rPr>
                    <w:t xml:space="preserve"> 降雨统计：每5min统计一次累计降雨；</w:t>
                  </w:r>
                  <w:r>
                    <w:br/>
                  </w:r>
                  <w:r>
                    <w:rPr>
                      <w:rFonts w:ascii="仿宋_GB2312" w:hAnsi="仿宋_GB2312" w:cs="仿宋_GB2312" w:eastAsia="仿宋_GB2312"/>
                      <w:sz w:val="21"/>
                      <w:color w:val="000000"/>
                    </w:rPr>
                    <w:t xml:space="preserve"> 数据上报：支持4G公网通信，支持同时向3个以上数据中心省、市、县上报，上报数据符合SL 651-2014《水文数据监测通信规约》，定时上传雨量及太阳能电压、电池电量、信号强度、经纬度、传感器状态等数据；</w:t>
                  </w:r>
                  <w:r>
                    <w:br/>
                  </w:r>
                  <w:r>
                    <w:rPr>
                      <w:rFonts w:ascii="仿宋_GB2312" w:hAnsi="仿宋_GB2312" w:cs="仿宋_GB2312" w:eastAsia="仿宋_GB2312"/>
                      <w:sz w:val="21"/>
                      <w:color w:val="000000"/>
                    </w:rPr>
                    <w:t xml:space="preserve"> 报警触发：支持5个时段2个级别报警阀值触发报警；</w:t>
                  </w:r>
                  <w:r>
                    <w:br/>
                  </w:r>
                  <w:r>
                    <w:rPr>
                      <w:rFonts w:ascii="仿宋_GB2312" w:hAnsi="仿宋_GB2312" w:cs="仿宋_GB2312" w:eastAsia="仿宋_GB2312"/>
                      <w:sz w:val="21"/>
                      <w:color w:val="000000"/>
                    </w:rPr>
                    <w:t xml:space="preserve"> 本地报警：支持向多个入户报警器实时发送雨量数据和报警信息；</w:t>
                  </w:r>
                  <w:r>
                    <w:br/>
                  </w:r>
                  <w:r>
                    <w:rPr>
                      <w:rFonts w:ascii="仿宋_GB2312" w:hAnsi="仿宋_GB2312" w:cs="仿宋_GB2312" w:eastAsia="仿宋_GB2312"/>
                      <w:sz w:val="21"/>
                      <w:color w:val="000000"/>
                    </w:rPr>
                    <w:t xml:space="preserve"> 远程管理：支持物联网平台对设备进行远程监控和统一管理；</w:t>
                  </w:r>
                  <w:r>
                    <w:br/>
                  </w:r>
                  <w:r>
                    <w:rPr>
                      <w:rFonts w:ascii="仿宋_GB2312" w:hAnsi="仿宋_GB2312" w:cs="仿宋_GB2312" w:eastAsia="仿宋_GB2312"/>
                      <w:sz w:val="21"/>
                      <w:color w:val="000000"/>
                    </w:rPr>
                    <w:t xml:space="preserve"> 传输网络：采用4G公网和LoRa自组网传输；</w:t>
                  </w:r>
                  <w:r>
                    <w:br/>
                  </w:r>
                  <w:r>
                    <w:rPr>
                      <w:rFonts w:ascii="仿宋_GB2312" w:hAnsi="仿宋_GB2312" w:cs="仿宋_GB2312" w:eastAsia="仿宋_GB2312"/>
                      <w:sz w:val="21"/>
                      <w:color w:val="000000"/>
                    </w:rPr>
                    <w:t xml:space="preserve"> 电池容量：3.7V/4400mAh 续航连续阴雨≥15天  </w:t>
                  </w:r>
                  <w:r>
                    <w:br/>
                  </w:r>
                  <w:r>
                    <w:rPr>
                      <w:rFonts w:ascii="仿宋_GB2312" w:hAnsi="仿宋_GB2312" w:cs="仿宋_GB2312" w:eastAsia="仿宋_GB2312"/>
                      <w:sz w:val="21"/>
                      <w:color w:val="000000"/>
                    </w:rPr>
                    <w:t xml:space="preserve"> 太阳能板规格：5V/6W</w:t>
                  </w:r>
                  <w:r>
                    <w:br/>
                  </w:r>
                  <w:r>
                    <w:rPr>
                      <w:rFonts w:ascii="仿宋_GB2312" w:hAnsi="仿宋_GB2312" w:cs="仿宋_GB2312" w:eastAsia="仿宋_GB2312"/>
                      <w:sz w:val="21"/>
                      <w:color w:val="000000"/>
                    </w:rPr>
                    <w:t xml:space="preserve"> 其他要求：含3年设备通信费并接入设备厂家监测管理云平台及手机APP。</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含3年设备通信费</w:t>
                  </w: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4.2</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室内报警主机</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电源规格：DC5V/1A</w:t>
                  </w:r>
                  <w:r>
                    <w:br/>
                  </w:r>
                  <w:r>
                    <w:rPr>
                      <w:rFonts w:ascii="仿宋_GB2312" w:hAnsi="仿宋_GB2312" w:cs="仿宋_GB2312" w:eastAsia="仿宋_GB2312"/>
                      <w:sz w:val="21"/>
                      <w:color w:val="000000"/>
                    </w:rPr>
                    <w:t xml:space="preserve"> 供电接口：Type-C</w:t>
                  </w:r>
                  <w:r>
                    <w:br/>
                  </w:r>
                  <w:r>
                    <w:rPr>
                      <w:rFonts w:ascii="仿宋_GB2312" w:hAnsi="仿宋_GB2312" w:cs="仿宋_GB2312" w:eastAsia="仿宋_GB2312"/>
                      <w:sz w:val="21"/>
                      <w:color w:val="000000"/>
                    </w:rPr>
                    <w:t xml:space="preserve"> 续航能力：内置锂电池，支持连续阴雨≥15天</w:t>
                  </w:r>
                  <w:r>
                    <w:br/>
                  </w:r>
                  <w:r>
                    <w:rPr>
                      <w:rFonts w:ascii="仿宋_GB2312" w:hAnsi="仿宋_GB2312" w:cs="仿宋_GB2312" w:eastAsia="仿宋_GB2312"/>
                      <w:sz w:val="21"/>
                      <w:color w:val="000000"/>
                    </w:rPr>
                    <w:t xml:space="preserve"> 通讯方式：支持本地自主网通信</w:t>
                  </w:r>
                  <w:r>
                    <w:br/>
                  </w:r>
                  <w:r>
                    <w:rPr>
                      <w:rFonts w:ascii="仿宋_GB2312" w:hAnsi="仿宋_GB2312" w:cs="仿宋_GB2312" w:eastAsia="仿宋_GB2312"/>
                      <w:sz w:val="21"/>
                      <w:color w:val="000000"/>
                    </w:rPr>
                    <w:t xml:space="preserve"> 显示要素：显示日历、时钟、实时通信状态</w:t>
                  </w:r>
                  <w:r>
                    <w:br/>
                  </w:r>
                  <w:r>
                    <w:rPr>
                      <w:rFonts w:ascii="仿宋_GB2312" w:hAnsi="仿宋_GB2312" w:cs="仿宋_GB2312" w:eastAsia="仿宋_GB2312"/>
                      <w:sz w:val="21"/>
                      <w:color w:val="000000"/>
                    </w:rPr>
                    <w:t xml:space="preserve"> 降雨显示：可显示当日降雨量值，支持 000.0-999.9mm 显示。</w:t>
                  </w:r>
                  <w:r>
                    <w:br/>
                  </w:r>
                  <w:r>
                    <w:rPr>
                      <w:rFonts w:ascii="仿宋_GB2312" w:hAnsi="仿宋_GB2312" w:cs="仿宋_GB2312" w:eastAsia="仿宋_GB2312"/>
                      <w:sz w:val="21"/>
                      <w:color w:val="000000"/>
                    </w:rPr>
                    <w:t xml:space="preserve"> 预警级别：雨量具有准备转移和立即转移两级报警。</w:t>
                  </w:r>
                  <w:r>
                    <w:br/>
                  </w:r>
                  <w:r>
                    <w:rPr>
                      <w:rFonts w:ascii="仿宋_GB2312" w:hAnsi="仿宋_GB2312" w:cs="仿宋_GB2312" w:eastAsia="仿宋_GB2312"/>
                      <w:sz w:val="21"/>
                      <w:color w:val="000000"/>
                    </w:rPr>
                    <w:t xml:space="preserve"> 功能要求：具有实时监测、信息显示、多时段声光报警功能的监测报警，具有多时段统计算法，支持不同级别的声光报警。监测要素超过设定的危险警戒值时设备发出报警声，同时设备还具有日历、时钟、实时通信状态。</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4.3</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室外简易雨量站安装底座</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底座立杆采用高≥600mm，外径≥60mm，壁厚≥ 3mm的镀锌钢管 ,立杆上下为直径≥280mm圆形法兰盘，整体白色喷涂。</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套</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4.4</w:t>
                  </w:r>
                </w:p>
              </w:tc>
              <w:tc>
                <w:tcPr>
                  <w:tcW w:type="dxa" w:w="44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安装及辅材</w:t>
                  </w:r>
                </w:p>
              </w:tc>
              <w:tc>
                <w:tcPr>
                  <w:tcW w:type="dxa" w:w="1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设备安装、线缆、仪器整平校准、人工注水实验、数据准</w:t>
                  </w:r>
                  <w:r>
                    <w:br/>
                  </w:r>
                  <w:r>
                    <w:rPr>
                      <w:rFonts w:ascii="仿宋_GB2312" w:hAnsi="仿宋_GB2312" w:cs="仿宋_GB2312" w:eastAsia="仿宋_GB2312"/>
                      <w:sz w:val="21"/>
                      <w:color w:val="000000"/>
                    </w:rPr>
                    <w:t xml:space="preserve"> 确性复核等</w:t>
                  </w:r>
                </w:p>
              </w:tc>
              <w:tc>
                <w:tcPr>
                  <w:tcW w:type="dxa" w:w="1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处</w:t>
                  </w:r>
                </w:p>
              </w:tc>
              <w:tc>
                <w:tcPr>
                  <w:tcW w:type="dxa" w:w="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80</w:t>
                  </w:r>
                </w:p>
              </w:tc>
              <w:tc>
                <w:tcPr>
                  <w:tcW w:type="dxa" w:w="407"/>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符合国家、省市及行业相关合格标准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1、经过试运行期后，且无重大事故发生，在提交全部相关文档、代码等交付物的前提下，中标单位可以向采购方提出系统验收申请，验收应由采购方组织有关专家验收。 2、项目成果提交需包括以下：（1）系统安装文件、源代码及详细说明文档；（2）项目实施过程中产生的各类文档，包括各类规范及标准化成果文档；（3）系统开发及项目实施等相关文档，包括但不限于项目实施计划、项目需求说明书、概要设计说明书、详细设计说明书、数据库设计说明书、系统测试报告、操作手册、用户手册（含详细的部署方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违约责任：1、按《中华人民共和国民法典》中的相关条款执行。 2、未按合同要求提供服务，不能满足采购需求，采购人有权终止合同，甚至对供方违约行为进行追究。 3、乙方应确保其依据本协议向甲方提交的产品和服务不存在任何侵犯第三方知识产权等权益的情形。甲方因乙方提交的产品和服务而被主张侵权所导致的所有损 失将由乙方承担。 4、因乙方迟延履行，使该系统未能按合同各运行阶段规定的时间达到运行各阶段要求，甲方从应付款项中 按下列计算方式扣除迟延履行赔偿金。每逾期一天，赔偿金按本合同总金额的2‰计收，赔偿金标准为不高于合同总额的5%。乙方逾期超过（90）日的，甲方有权解除合同，并有权要求乙方退还已付所有价款、支付相应违约金和承担甲方因此遭受的其他损失。 5、双方经协商一致可以解除本合同。任何一方单方面解除本合同的，应承担由此而给对方造成的损失。 解决争议的方法：合同发生纠纷时，双方应协商解决，协商不成可以采用下列方式解决；①提交当地仲裁委员会仲裁； ②具有管辖权的人民法院提起诉讼。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供应商提交的相关证明材料（包1）.docx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供应商提交的相关证明材料（包1）.docx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供应商提交的相关证明材料（包2）.docx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供应商提交的相关证明材料（包2）.docx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供应商提交的相关证明材料（包1）.docx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代表人身份证明书，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供应商提交的相关证明材料（包1）.docx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供应商须具备工程设计水利行业乙级（含乙级）以上资质或工程测量、地理信息系统工程专业测绘乙级（含乙级）或水文水资源调查评价专业乙级（含乙级）以上资质证书复印件；</w:t>
            </w:r>
          </w:p>
        </w:tc>
        <w:tc>
          <w:tcPr>
            <w:tcW w:type="dxa" w:w="1661"/>
          </w:tcPr>
          <w:p>
            <w:pPr>
              <w:pStyle w:val="null3"/>
            </w:pPr>
            <w:r>
              <w:rPr>
                <w:rFonts w:ascii="仿宋_GB2312" w:hAnsi="仿宋_GB2312" w:cs="仿宋_GB2312" w:eastAsia="仿宋_GB2312"/>
              </w:rPr>
              <w:t>供应商提交的相关证明材料（包1）.docx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项目负责人须具有水利相关专业中级（含中级）以上专业技术职称，并具有同类工程施工从业经验；</w:t>
            </w:r>
          </w:p>
        </w:tc>
        <w:tc>
          <w:tcPr>
            <w:tcW w:type="dxa" w:w="1661"/>
          </w:tcPr>
          <w:p>
            <w:pPr>
              <w:pStyle w:val="null3"/>
            </w:pPr>
            <w:r>
              <w:rPr>
                <w:rFonts w:ascii="仿宋_GB2312" w:hAnsi="仿宋_GB2312" w:cs="仿宋_GB2312" w:eastAsia="仿宋_GB2312"/>
              </w:rPr>
              <w:t>供应商提交的相关证明材料（包1）.docx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 3 年内经营活动无重大违法记录，供应商不得为“信用中国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拟参与本项目的供应商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供应商提交的相关证明材料（包1）.docx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供应商为合法注册的法人、其他组织，具有独立承担民事责任的能力，提供营业执照或事业单位法人证书复印件，供应商为自然人的提供身份证复印件；</w:t>
            </w:r>
          </w:p>
        </w:tc>
        <w:tc>
          <w:tcPr>
            <w:tcW w:type="dxa" w:w="1661"/>
          </w:tcPr>
          <w:p>
            <w:pPr>
              <w:pStyle w:val="null3"/>
            </w:pPr>
            <w:r>
              <w:rPr>
                <w:rFonts w:ascii="仿宋_GB2312" w:hAnsi="仿宋_GB2312" w:cs="仿宋_GB2312" w:eastAsia="仿宋_GB2312"/>
              </w:rPr>
              <w:t>供应商提交的相关证明材料（包2）.docx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代表人身份证明书，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供应商提交的相关证明材料（包2）.docx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项目负责人具有软件工程或计算机科学与技术或网络工程或信息安全等相关专业中级（含中级）以上技术职称；</w:t>
            </w:r>
          </w:p>
        </w:tc>
        <w:tc>
          <w:tcPr>
            <w:tcW w:type="dxa" w:w="1661"/>
          </w:tcPr>
          <w:p>
            <w:pPr>
              <w:pStyle w:val="null3"/>
            </w:pPr>
            <w:r>
              <w:rPr>
                <w:rFonts w:ascii="仿宋_GB2312" w:hAnsi="仿宋_GB2312" w:cs="仿宋_GB2312" w:eastAsia="仿宋_GB2312"/>
              </w:rPr>
              <w:t>供应商提交的相关证明材料（包2）.docx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 3 年内经营活动无重大违法记录，供应商不得为“信用中国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拟参与本项目的供应商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供应商提交的相关证明材料（包2）.docx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 投标有效期是否符合招标文件的要求。</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是否符合法律、法规和招标文件规定，无其他无效投标情形的。</w:t>
            </w:r>
          </w:p>
        </w:tc>
        <w:tc>
          <w:tcPr>
            <w:tcW w:type="dxa" w:w="1661"/>
          </w:tcPr>
          <w:p>
            <w:pPr>
              <w:pStyle w:val="null3"/>
            </w:pPr>
            <w:r>
              <w:rPr>
                <w:rFonts w:ascii="仿宋_GB2312" w:hAnsi="仿宋_GB2312" w:cs="仿宋_GB2312" w:eastAsia="仿宋_GB2312"/>
              </w:rPr>
              <w:t>服务内容及服务邀请应答表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投标报价是否超过采购预算（或最高限价）； 投标有效期是否符合招标文件的要求。</w:t>
            </w:r>
          </w:p>
        </w:tc>
        <w:tc>
          <w:tcPr>
            <w:tcW w:type="dxa" w:w="1661"/>
          </w:tcPr>
          <w:p>
            <w:pPr>
              <w:pStyle w:val="null3"/>
            </w:pPr>
            <w:r>
              <w:rPr>
                <w:rFonts w:ascii="仿宋_GB2312" w:hAnsi="仿宋_GB2312" w:cs="仿宋_GB2312" w:eastAsia="仿宋_GB2312"/>
              </w:rPr>
              <w:t>开标一览表 投标函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是否符合法律、法规和招标文件规定，无其他无效投标情形的。</w:t>
            </w:r>
          </w:p>
        </w:tc>
        <w:tc>
          <w:tcPr>
            <w:tcW w:type="dxa" w:w="1661"/>
          </w:tcPr>
          <w:p>
            <w:pPr>
              <w:pStyle w:val="null3"/>
            </w:pPr>
            <w:r>
              <w:rPr>
                <w:rFonts w:ascii="仿宋_GB2312" w:hAnsi="仿宋_GB2312" w:cs="仿宋_GB2312" w:eastAsia="仿宋_GB2312"/>
              </w:rPr>
              <w:t>服务内容及服务邀请应答表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对本项工作的重点和难点理解及关键性技术问题的对策措施</w:t>
            </w:r>
          </w:p>
        </w:tc>
        <w:tc>
          <w:tcPr>
            <w:tcW w:type="dxa" w:w="2492"/>
          </w:tcPr>
          <w:p>
            <w:pPr>
              <w:pStyle w:val="null3"/>
            </w:pPr>
            <w:r>
              <w:rPr>
                <w:rFonts w:ascii="仿宋_GB2312" w:hAnsi="仿宋_GB2312" w:cs="仿宋_GB2312" w:eastAsia="仿宋_GB2312"/>
              </w:rPr>
              <w:t>根据供应商提供的重点难点理解及关键性技术问题的对策措施（包括但不限于工作重点理解深刻程度，对工作难点把握准确性、全面性等）进行打分： 1）工作重点理解深刻，对工作难点把握准确、全面、措施能够紧扣项目实际情况，内容科学合理的得(6，10]分； 2）工作重点理解较深，对工作难点把握较准确、较全面，措施能够较贴合项目实际情况，内容科学合理的得(2，6]分；3）工作重点理解不深，对工作难点把握不准确、不全面，措施不能够贴合项目实际情况，内容科学不合理的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根据供应商提供的实施方案（包括但不限于实施计划、技术方案、清晰性、针对性、报告编制所需收集资料 及文件的准确性等）进行打分： 1）供应商的实施计划合理、技术方案完善、条理清晰、具有针对性且报告编制所需收集资料及文件的准确性高得(12，20]； 2）供应商的实施计划较合理、技术方案较完善、条理较清晰、较有针对性、报告编制所需收集资料及文件的准确性一般得(2，12]分；3）供应商的实施计划不合理、技术方案不完善、条理不清晰、针对性、报告编制所需收集资料及文件的准确性差得(0，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报告编制结构框架及内容</w:t>
            </w:r>
          </w:p>
        </w:tc>
        <w:tc>
          <w:tcPr>
            <w:tcW w:type="dxa" w:w="2492"/>
          </w:tcPr>
          <w:p>
            <w:pPr>
              <w:pStyle w:val="null3"/>
            </w:pPr>
            <w:r>
              <w:rPr>
                <w:rFonts w:ascii="仿宋_GB2312" w:hAnsi="仿宋_GB2312" w:cs="仿宋_GB2312" w:eastAsia="仿宋_GB2312"/>
              </w:rPr>
              <w:t>根据供应商提供的针对本项目编制范围、内容全面，框架清晰，结构完整进行打分。 1）编制范围、内容全面，框架清晰，结构完整，得(6，10]；2）编制范围、内容较全面，框架较清晰，结构较完整，得(2，6]分；3）编制范围、内容基本全面，框架基本清晰，结构基本完整，得(0，2]分；4）无或其它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工作计划方案任范围</w:t>
            </w:r>
          </w:p>
        </w:tc>
        <w:tc>
          <w:tcPr>
            <w:tcW w:type="dxa" w:w="2492"/>
          </w:tcPr>
          <w:p>
            <w:pPr>
              <w:pStyle w:val="null3"/>
            </w:pPr>
            <w:r>
              <w:rPr>
                <w:rFonts w:ascii="仿宋_GB2312" w:hAnsi="仿宋_GB2312" w:cs="仿宋_GB2312" w:eastAsia="仿宋_GB2312"/>
              </w:rPr>
              <w:t>根据供应商提供的工作计划方案（包括但不限于工作进度计划，工期保障措施，人员、设备投入计划及管理措施等）进行打分：1）供应商提供的工作进度计划完善，工期保障措施科学，人员、设备投入计划及管理措施完备的得(6，10]分；2）供应商提供的工作进度计划、工期保障措施科学，人员、设备投入计划及管理措施一般的得(2，6]分；3）供应商提供的工作进度计划、工期保障措施科学，人员、设备投入计划及管理措施差的得(0，2]。</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成果质量及服务保证措施</w:t>
            </w:r>
          </w:p>
        </w:tc>
        <w:tc>
          <w:tcPr>
            <w:tcW w:type="dxa" w:w="2492"/>
          </w:tcPr>
          <w:p>
            <w:pPr>
              <w:pStyle w:val="null3"/>
            </w:pPr>
            <w:r>
              <w:rPr>
                <w:rFonts w:ascii="仿宋_GB2312" w:hAnsi="仿宋_GB2312" w:cs="仿宋_GB2312" w:eastAsia="仿宋_GB2312"/>
              </w:rPr>
              <w:t>成果质量、服务保证体系健全、措施切实可行得(3，8]分，成果质量、服务保证体系健全、措施切实可行得(0，3]分 ，缺项得0分。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供应商针对本项目组织机构健全、团队人员配备充分满足项目要求，专业配备齐全，分工明确，可实施性清晰合理得(4，6]分，对本项目组织机构健全、团队人员配备基本满足项目要求，专业配备齐全，分工明确，可实施性基本合理得(0，4]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每配备1名水利类相关专业正高级工程师职称的得2分，每配备1名副高级技术职称的得1分。本项最多得6分。【注】以上同一人员不得重复计分，投标文件中须提供人员身份证、职称证复印件，并加盖公章。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1.项目负责人：具备水利类相关专业高级及以上工程师职称的得3分，项目负责人具有同类项目实施经验的，每个得1分，最多得3分； 【注】①以上同一人员不得重复计分，投标文件中须提供人员身份证、职称证复印件，并加盖公章。②项目负责人类似业绩须提供中标/成交通知书、合同或业主盖章的证明材料中的任意一种，证明材料中应载明项目负责人姓名，且在项目中担任项目负责人或技术负责人职务。</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自2022年1月1日至投标截止日前（以合同签订时间为准），具有类似项目业绩，每具有一个得3分，最高得9分。 注：类似项目指：洪水风险图编制服务。</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经资格性及符合性审查合格的供应商，其投标报价为有效报价。 评标基准价：即满足招标文件要求且报价最低的为评标基准价。 其他供应商的价格分统一按照下列公式计算。 报价得分=(评标基准价/投标报价)×15 注：1、计算分数时四舍五入取小数点后两位。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1.能够透彻分析本标包的重点、难点，并提供有相应解决措施及方案得(4，8]分； 2.能够提出本标包的重点、难点，但缺少相应解决措施及方案得(0，4]分； 3.无或其它情况不得分。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产品选型合理，货源正规，避免出现侵权等行为，投标人提供不限于厂家授权、 代理协议等来源证明材料： 1.产品选型合理，来源渠道明确，证明材料齐全，满足采购需求得(6，10]分； 2.投标产品有明确的品牌型号但来源渠道不明确或证明材料不齐全得(3，6]分； 3.投标产品无明确的品牌型号，无来源证明或证明材料与投标产品不符得(0，3]分。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方案说明1</w:t>
            </w:r>
          </w:p>
        </w:tc>
        <w:tc>
          <w:tcPr>
            <w:tcW w:type="dxa" w:w="2492"/>
          </w:tcPr>
          <w:p>
            <w:pPr>
              <w:pStyle w:val="null3"/>
            </w:pPr>
            <w:r>
              <w:rPr>
                <w:rFonts w:ascii="仿宋_GB2312" w:hAnsi="仿宋_GB2312" w:cs="仿宋_GB2312" w:eastAsia="仿宋_GB2312"/>
              </w:rPr>
              <w:t>针对本项目提供详细的方案说明(方案包括①项目进度安排、②组织协调措施、③质量保证措施)。 1、以上内容完整、细致可行、有针对性，根据响应情况得(7，10]分。 2、以上内容较完整，基本满足招标文件要求，根据响应情况得(3，7]分 3、所提供的内容不尽完整，针对性、可操作性、整体方案的完整性较差，不能满足采购人实际要求，根据响应情况得(0，3]分。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方案说明2</w:t>
            </w:r>
          </w:p>
        </w:tc>
        <w:tc>
          <w:tcPr>
            <w:tcW w:type="dxa" w:w="2492"/>
          </w:tcPr>
          <w:p>
            <w:pPr>
              <w:pStyle w:val="null3"/>
            </w:pPr>
            <w:r>
              <w:rPr>
                <w:rFonts w:ascii="仿宋_GB2312" w:hAnsi="仿宋_GB2312" w:cs="仿宋_GB2312" w:eastAsia="仿宋_GB2312"/>
              </w:rPr>
              <w:t>针对本项目提供详细的①运输、安装调试措施、②应急方案及措施、③验收措施。 1、以上内容完整、细致可行、有针对性，根据响应情况得(7，10]分。 2、以上内容较完整，基本满足招标文件要求，根据响应情况得(3，7]分 3、所提供的内容不尽完整，针对性、可操作性、整体方案的完整性较差，不能满足采购人实际要求，根据响应情况得(0，3]分。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 xml:space="preserve"> 1.拟投入本项目人员 10 人（含）以上，人员安排具体、分工明确计 (7，10] 分； 2.拟投入本项目人员 5人（含）以上、10 人以下，人员安排具体、分工明确计(4，7] 分； 3.拟投入本项目人员在 5 人以下，人员安排具体、分工责任明确计(0，4]分。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针对本项目有具体可行的①培训方案、②培训内容、③培训计划、④培训措施承诺： 1、以上内容完整、细致可行、有针对性，根据响应情况得(4，6]分。 2、以上内容较完整，基本满足招标文件要求，根据响应情况得(2，4]分 3、所提供的内容不尽完整，针对性、可操作性、整体方案的完整性较差，不能满足采购人实际要求，根据响应情况得(0，2]分。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w:t>
            </w:r>
          </w:p>
        </w:tc>
        <w:tc>
          <w:tcPr>
            <w:tcW w:type="dxa" w:w="2492"/>
          </w:tcPr>
          <w:p>
            <w:pPr>
              <w:pStyle w:val="null3"/>
            </w:pPr>
            <w:r>
              <w:rPr>
                <w:rFonts w:ascii="仿宋_GB2312" w:hAnsi="仿宋_GB2312" w:cs="仿宋_GB2312" w:eastAsia="仿宋_GB2312"/>
              </w:rPr>
              <w:t>售后服务包含：①售后服务机构情况、②售后服务人员安排、③售后服务响应时 间与处理时间、④售后服务内容和操作流程、⑤售后服务方式、⑥售后服务质量保证措施。 1、提供了详细的售后方案，售后方案细致可行、售后有针对性，根据响应情况得(7，10]分。 2、提供了较详细的售后方案，售后方案基本满足招标文件要求，根据响应情况得(3，7]分。 3、所提供的售后不尽完整，针对性、可操作性、整体方案的完整性较差，不能满足采购人实际需求要求，根据响应情况得(0，3]分。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2020 年 1 月至开标前投标产品的同类项目业绩，以合同复印件加盖公章为准， 每提供一份计 2分，此项共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经资格性及符合性审查合格的供应商，其投标报价为有效报价。 评标基准价：即满足招标文件要求且报价最低的为评标基准价。 其他供应商的价格分统一按照下列公式计算。 报价得分=(评标基准价/投标报价)×30 注：1、计算分数时四舍五入取小数点后两位。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详见附件：供应商提交的相关证明材料（包1）.docx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详见附件：供应商提交的相关证明材料（包2）.docx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