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版本号：BYTC2025CG03420250814001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燃油平板火化炉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BYTC2025CG034</w:t>
      </w:r>
      <w:r>
        <w:br/>
      </w:r>
      <w:r>
        <w:br/>
      </w:r>
      <w:r>
        <w:br/>
      </w:r>
    </w:p>
    <w:p>
      <w:pPr>
        <w:pStyle w:val="null3"/>
        <w:jc w:val="center"/>
        <w:outlineLvl w:val="2"/>
      </w:pPr>
      <w:r>
        <w:rPr>
          <w:rFonts w:ascii="仿宋_GB2312" w:hAnsi="仿宋_GB2312" w:cs="仿宋_GB2312" w:eastAsia="仿宋_GB2312"/>
          <w:sz w:val="28"/>
          <w:b/>
        </w:rPr>
        <w:t>城固县殡葬管理所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城固县殡葬管理所</w:t>
      </w:r>
      <w:r>
        <w:rPr>
          <w:rFonts w:ascii="仿宋_GB2312" w:hAnsi="仿宋_GB2312" w:cs="仿宋_GB2312" w:eastAsia="仿宋_GB2312"/>
        </w:rPr>
        <w:t>委托，拟对</w:t>
      </w:r>
      <w:r>
        <w:rPr>
          <w:rFonts w:ascii="仿宋_GB2312" w:hAnsi="仿宋_GB2312" w:cs="仿宋_GB2312" w:eastAsia="仿宋_GB2312"/>
        </w:rPr>
        <w:t>燃油平板火化炉</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燃油平板火化炉</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燃油平板火化炉及相关配套，招标范围包含采购人原有设备、设施的拆除、本次新购设备的安装调试、安装设备所需的配套辅材、配套工程等；交货时必须向采购人提供有关设备的安装、调试、使用、维修和保养所需的技术文件（设备合格证、使用说明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采购包1（燃油平板火化炉）：属于专门面向中小企业采购。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：具有独立承担民事责任能力的法人、其他组织或自然人，并出具合法有效的营业执照或事业单位法人证书等国家规定的相关证明，自然人参与的提供其身份证明； 提供合法有效的证明材料</w:t>
      </w:r>
    </w:p>
    <w:p>
      <w:pPr>
        <w:pStyle w:val="null3"/>
      </w:pPr>
      <w:r>
        <w:rPr>
          <w:rFonts w:ascii="仿宋_GB2312" w:hAnsi="仿宋_GB2312" w:cs="仿宋_GB2312" w:eastAsia="仿宋_GB2312"/>
        </w:rPr>
        <w:t>2、投标人应授权合法的人员参加投标，其中法定代表人签署的，提供法定代表人证明书，并与营业执照上信息一致；被授权代表签署的，须出具法定代表人授权书及被授权人身份证；（非法人单位的负责人均参照执行）；：投标人应授权合法的人员参加投标，其中法定代表人签署的，提供法定代表人证明书，并与营业执照上信息一致；被授权代表签署的，须出具法定代表人授权书及被授权人身份证；（非法人单位的负责人均参照执行）；按招标文件要求进行响应</w:t>
      </w:r>
    </w:p>
    <w:p>
      <w:pPr>
        <w:pStyle w:val="null3"/>
      </w:pPr>
      <w:r>
        <w:rPr>
          <w:rFonts w:ascii="仿宋_GB2312" w:hAnsi="仿宋_GB2312" w:cs="仿宋_GB2312" w:eastAsia="仿宋_GB2312"/>
        </w:rPr>
        <w:t>3、提供“汉中市政府采购供应商资格承诺函”；：提供“汉中市政府采购供应商资格承诺函”；按招标文件要求进行响应</w:t>
      </w:r>
    </w:p>
    <w:p>
      <w:pPr>
        <w:pStyle w:val="null3"/>
      </w:pPr>
      <w:r>
        <w:rPr>
          <w:rFonts w:ascii="仿宋_GB2312" w:hAnsi="仿宋_GB2312" w:cs="仿宋_GB2312" w:eastAsia="仿宋_GB2312"/>
        </w:rPr>
        <w:t>4、本项目专门面向中小企业：本项目专门面向中小企业；按招标文件要求提供企业规模声明函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城固县殡葬管理所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城固县三合镇龙王庙村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0916-7292828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以成交金额为基数，参考《国家计委关于印发&lt;招标代理服务收费管理暂行办法&gt;的通知》（计价格【2002】1980号）标准收取（即按中标金额的1.5%计取）,不足3000元的，按3000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城固县殡葬管理所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城固县殡葬管理所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城固县殡葬管理所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陕西博宇天诚项目管理有限公司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地址：陕西省汉中市汉台区荔枝路智诚雅居二层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采购燃油平板火化炉一台，招标范围包含采购人原有设备、设施的拆除、本次新购设备的安装调试、安装设备所需的配套辅材、配套工程等；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燃油平板火化炉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标的名称：燃油平板火化炉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炉体炉膛系统：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、固定式炉膛，标牌、标识齐全；炉体外框≥1.0mm厚SUS304不锈钢；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、炉体尺寸：L3500mm*W2450mm*H3200mm，尺寸接受±5%偏离，但需满足现场安装需要；</w:t>
            </w:r>
          </w:p>
          <w:p>
            <w:pPr>
              <w:pStyle w:val="null3"/>
              <w:jc w:val="both"/>
            </w:pPr>
            <w:r>
              <w:rPr>
                <w:rFonts w:ascii="仿宋_GB2312" w:hAnsi="仿宋_GB2312" w:cs="仿宋_GB2312" w:eastAsia="仿宋_GB2312"/>
                <w:sz w:val="24"/>
                <w:b/>
              </w:rPr>
              <w:t>★3、主炉膛炉体为高强度耐火浇注料整体浇筑成型，耐高温性能：≥1500℃；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、操作口：L220mm*W170mm*H120mm，尺寸接受±5%偏离，但需满足现场实际操作需要；</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、出灰口：L300mm*H300mm，尺寸接受±5%偏离；</w:t>
            </w:r>
          </w:p>
          <w:p>
            <w:pPr>
              <w:pStyle w:val="null3"/>
            </w:pPr>
            <w:r>
              <w:rPr>
                <w:rFonts w:ascii="仿宋_GB2312" w:hAnsi="仿宋_GB2312" w:cs="仿宋_GB2312" w:eastAsia="仿宋_GB2312"/>
                <w:sz w:val="24"/>
              </w:rPr>
              <w:t>6、正常工作运行或停机后禁止出现烟气溢出、倒烟、回烟、异味现象。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燃烧</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、支持柴油、天然气；</w:t>
            </w:r>
          </w:p>
          <w:p>
            <w:pPr>
              <w:pStyle w:val="null3"/>
              <w:jc w:val="both"/>
            </w:pPr>
            <w:r>
              <w:rPr>
                <w:rFonts w:ascii="仿宋_GB2312" w:hAnsi="仿宋_GB2312" w:cs="仿宋_GB2312" w:eastAsia="仿宋_GB2312"/>
                <w:sz w:val="24"/>
                <w:b/>
              </w:rPr>
              <w:t>★2、燃烧火力及角度可调，角度调整范围：60°——90°；</w:t>
            </w:r>
          </w:p>
          <w:p>
            <w:pPr>
              <w:pStyle w:val="null3"/>
              <w:jc w:val="both"/>
            </w:pPr>
            <w:r>
              <w:rPr>
                <w:rFonts w:ascii="仿宋_GB2312" w:hAnsi="仿宋_GB2312" w:cs="仿宋_GB2312" w:eastAsia="仿宋_GB2312"/>
                <w:sz w:val="24"/>
                <w:b/>
              </w:rPr>
              <w:t>★3、具备电子点火系统；</w:t>
            </w:r>
          </w:p>
          <w:p>
            <w:pPr>
              <w:pStyle w:val="null3"/>
              <w:jc w:val="both"/>
            </w:pPr>
            <w:r>
              <w:rPr>
                <w:rFonts w:ascii="仿宋_GB2312" w:hAnsi="仿宋_GB2312" w:cs="仿宋_GB2312" w:eastAsia="仿宋_GB2312"/>
                <w:sz w:val="24"/>
                <w:b/>
              </w:rPr>
              <w:t>★4、火化时间：≤40分钟/具；</w:t>
            </w:r>
          </w:p>
          <w:p>
            <w:pPr>
              <w:pStyle w:val="null3"/>
              <w:jc w:val="both"/>
            </w:pPr>
            <w:r>
              <w:rPr>
                <w:rFonts w:ascii="仿宋_GB2312" w:hAnsi="仿宋_GB2312" w:cs="仿宋_GB2312" w:eastAsia="仿宋_GB2312"/>
                <w:sz w:val="24"/>
                <w:b/>
              </w:rPr>
              <w:t>★5、燃料消耗：≤13公升柴油/具；</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供风</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、风口、风管数量≥3处，风量≥1000m³/h；</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鼓风机：三相，功率7.5kw，风压≥11000Pa，噪音≤70分贝噪音≤70分贝；</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引风机：功率7.5kw，风压≥2800Pa，噪音≤70分贝；</w:t>
            </w:r>
          </w:p>
          <w:p>
            <w:pPr>
              <w:pStyle w:val="null3"/>
              <w:jc w:val="both"/>
            </w:pPr>
            <w:r>
              <w:rPr>
                <w:rFonts w:ascii="仿宋_GB2312" w:hAnsi="仿宋_GB2312" w:cs="仿宋_GB2312" w:eastAsia="仿宋_GB2312"/>
                <w:sz w:val="24"/>
                <w:b/>
              </w:rPr>
              <w:t>★4、具备热能回收模块，正常运行达到20分钟时，鼓风温度≥250摄氏度，保障节能要求；</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遗体输送系统：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、具备遗体输送预备间，尺寸≥L4000mm*W3000mm，尺寸接受±5%偏离，但需满足现场实际操作需要；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、输送系统：具备双向遗体输送功能的履带式遗体输送车，支持外出接遗体、预备室停留、送遗体进炉膛；</w:t>
            </w:r>
          </w:p>
          <w:p>
            <w:pPr>
              <w:pStyle w:val="null3"/>
              <w:jc w:val="left"/>
            </w:pPr>
            <w:r>
              <w:rPr>
                <w:rFonts w:ascii="仿宋_GB2312" w:hAnsi="仿宋_GB2312" w:cs="仿宋_GB2312" w:eastAsia="仿宋_GB2312"/>
                <w:sz w:val="24"/>
                <w:b/>
              </w:rPr>
              <w:t>★3、支持电脑触摸屏操作，自动化或手动操作以下功能：炉门开、炉门关、进炉、出炉、急停等；</w:t>
            </w:r>
          </w:p>
          <w:p>
            <w:pPr>
              <w:pStyle w:val="null3"/>
            </w:pPr>
            <w:r>
              <w:rPr>
                <w:rFonts w:ascii="仿宋_GB2312" w:hAnsi="仿宋_GB2312" w:cs="仿宋_GB2312" w:eastAsia="仿宋_GB2312"/>
                <w:sz w:val="24"/>
                <w:b/>
              </w:rPr>
              <w:t>★4、电脑显示设备运行状态及故障点，以便及时排除；</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电气控制系统：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、支持自动化触摸屏操作，屏幕≥10.0寸；</w:t>
            </w:r>
          </w:p>
          <w:p>
            <w:pPr>
              <w:pStyle w:val="null3"/>
              <w:spacing w:after="120"/>
              <w:jc w:val="both"/>
            </w:pPr>
            <w:r>
              <w:rPr>
                <w:rFonts w:ascii="仿宋_GB2312" w:hAnsi="仿宋_GB2312" w:cs="仿宋_GB2312" w:eastAsia="仿宋_GB2312"/>
                <w:sz w:val="24"/>
                <w:b/>
              </w:rPr>
              <w:t>★2、具备PLC模块化操作盘；</w:t>
            </w:r>
          </w:p>
          <w:p>
            <w:pPr>
              <w:pStyle w:val="null3"/>
              <w:jc w:val="both"/>
            </w:pPr>
            <w:r>
              <w:rPr>
                <w:rFonts w:ascii="仿宋_GB2312" w:hAnsi="仿宋_GB2312" w:cs="仿宋_GB2312" w:eastAsia="仿宋_GB2312"/>
                <w:sz w:val="24"/>
                <w:b/>
              </w:rPr>
              <w:t>★3、自动化系统支持引风开关、鼓风开关、点火开关、燃烧机转角、烟闸开关、燃料转换、尾气接通、尾气断开等操作；</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、具备引风开关、鼓风开关、点火开关、燃烧机转角、烟闸开关、燃料转换、尾气接通、尾气断开等手动操作按键；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、支持设备状态显示，包含炉膛温度、炉膛压力、故障点等；</w:t>
            </w:r>
          </w:p>
          <w:p>
            <w:pPr>
              <w:pStyle w:val="null3"/>
            </w:pPr>
            <w:r>
              <w:rPr>
                <w:rFonts w:ascii="仿宋_GB2312" w:hAnsi="仿宋_GB2312" w:cs="仿宋_GB2312" w:eastAsia="仿宋_GB2312"/>
                <w:sz w:val="24"/>
                <w:b/>
              </w:rPr>
              <w:t>★6、燃料自动控制：当炉膛温度超过设定值或出现异常状态时，自动断开燃料供应；</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尾气净化系统：</w:t>
            </w:r>
          </w:p>
          <w:p>
            <w:pPr>
              <w:pStyle w:val="null3"/>
              <w:jc w:val="both"/>
            </w:pPr>
            <w:r>
              <w:rPr>
                <w:rFonts w:ascii="仿宋_GB2312" w:hAnsi="仿宋_GB2312" w:cs="仿宋_GB2312" w:eastAsia="仿宋_GB2312"/>
                <w:sz w:val="24"/>
                <w:b/>
              </w:rPr>
              <w:t>★1、配套原厂尾气净化系统，净化后符合GB13801-2015《火葬场大气污染物排放标准》要求；</w:t>
            </w:r>
          </w:p>
          <w:p>
            <w:pPr>
              <w:pStyle w:val="null3"/>
            </w:pPr>
            <w:r>
              <w:rPr>
                <w:rFonts w:ascii="仿宋_GB2312" w:hAnsi="仿宋_GB2312" w:cs="仿宋_GB2312" w:eastAsia="仿宋_GB2312"/>
                <w:sz w:val="24"/>
              </w:rPr>
              <w:t>2</w:t>
            </w:r>
            <w:r>
              <w:rPr>
                <w:rFonts w:ascii="仿宋_GB2312" w:hAnsi="仿宋_GB2312" w:cs="仿宋_GB2312" w:eastAsia="仿宋_GB2312"/>
                <w:sz w:val="24"/>
              </w:rPr>
              <w:t>、尾气处理后，接入现有烟道。</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配套：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、按采购人要求，对其原有设备、设施进行拆除；</w:t>
            </w:r>
          </w:p>
          <w:p>
            <w:pPr>
              <w:pStyle w:val="null3"/>
            </w:pPr>
            <w:r>
              <w:rPr>
                <w:rFonts w:ascii="仿宋_GB2312" w:hAnsi="仿宋_GB2312" w:cs="仿宋_GB2312" w:eastAsia="仿宋_GB2312"/>
                <w:sz w:val="24"/>
              </w:rPr>
              <w:t>2</w:t>
            </w:r>
            <w:r>
              <w:rPr>
                <w:rFonts w:ascii="仿宋_GB2312" w:hAnsi="仿宋_GB2312" w:cs="仿宋_GB2312" w:eastAsia="仿宋_GB2312"/>
                <w:sz w:val="24"/>
              </w:rPr>
              <w:t>、包含本次新购设备的安装调试、安装调试设备所需的配套辅材、配套工程等服务；</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技术运维：</w:t>
            </w:r>
          </w:p>
          <w:p>
            <w:pPr>
              <w:pStyle w:val="null3"/>
            </w:pPr>
            <w:r>
              <w:rPr>
                <w:rFonts w:ascii="仿宋_GB2312" w:hAnsi="仿宋_GB2312" w:cs="仿宋_GB2312" w:eastAsia="仿宋_GB2312"/>
                <w:sz w:val="24"/>
              </w:rPr>
              <w:t>★1、委派1人提供3个月驻场技术运维服务；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汉中市城固县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1、供应商完成交货验收，具备试运行条件后，采购组织初步验收。 2、正常运行满3个月后，采购人组织最终验收。 3、验收标准： （1）按照招标技术要求及投标产品参数配置表对应项目，逐项核对是否达标，★项参数逐项运行验证。 （2）验证点火系统可靠性，可靠率≥99%，在炉膛各种负压下点火是否顺畅，检验可靠率。（3）检验智能安全保护系统可靠性：炉膛燃烧机开启后，手动关闭烟闸板，炉膛正压，设备具备自动关闭燃烧机供油及自动提升烟闸板的功能。 （4）检验设备智能化效果。人为制造设备故障，电脑显示屏应立即显示故障点位置。 （5）尾气排放，尾气装置供应商自行委托检验机构现场采样并出具检验报告。 4、验收未通过的，采购人有权要求供应商在10日内完成整改；未按期完成整改或整改后未通过验收的，采购人有权取消采购合同并要求供应商自行处理其产品；供应商未自行处理其产品的，采购人有权自行处理，相关风险、责任、损失均由供应商自行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1、质量保修范围：按国家规定、采购人要求及供应商投标承诺执行。 2、质保期（保修期）：自验收合格之日起3年；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向采购人所在地申请仲裁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质量及售后服务要求（以为最低下要求） 1、供应商投标产品应完全响应招标文件技术参数要求，接受正偏离技术参数的产品投标。 2、投标产品应质量合格、性能稳定，投标产品来源合法，售后有保障；响应文件中必须详细说明投标产品的品牌型号（参数规格）、来源渠道，否则按重大负偏离处理； 3、验收合格后，供应商需委派不少于1人提供3个月驻场技术运维服务，保证售后服务质量。 4、供应商投标文件中需列明质保期内设备正常运行所需的配件(必须提供)、易损件清单（若有则提供），交货时向采购人移交；同时质保期外提供终身维修服务。（注：按“技术运维、质保服务方案”格式要求进行准确全面具体的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供应商需在项目电子化交易系统中按要求上传相应证明文件(汉中市政府采购供应商资格承诺函)并进行电子签章。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 提供合法有效的证明材料</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其中法定代表人签署的，提供法定代表人证明书，并与营业执照上信息一致；被授权代表签署的，须出具法定代表人授权书及被授权人身份证；（非法人单位的负责人均参照执行）；</w:t>
            </w:r>
          </w:p>
        </w:tc>
        <w:tc>
          <w:tcPr>
            <w:tcW w:type="dxa" w:w="3322"/>
          </w:tcPr>
          <w:p>
            <w:pPr>
              <w:pStyle w:val="null3"/>
            </w:pPr>
            <w:r>
              <w:rPr>
                <w:rFonts w:ascii="仿宋_GB2312" w:hAnsi="仿宋_GB2312" w:cs="仿宋_GB2312" w:eastAsia="仿宋_GB2312"/>
              </w:rPr>
              <w:t>投标人应授权合法的人员参加投标，其中法定代表人签署的，提供法定代表人证明书，并与营业执照上信息一致；被授权代表签署的，须出具法定代表人授权书及被授权人身份证；（非法人单位的负责人均参照执行）；按招标文件要求进行响应</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提供“汉中市政府采购供应商资格承诺函”；按招标文件要求进行响应</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本项目专门面向中小企业；按招标文件要求提供企业规模声明函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审查投标文件格式</w:t>
            </w:r>
          </w:p>
        </w:tc>
        <w:tc>
          <w:tcPr>
            <w:tcW w:type="dxa" w:w="3322"/>
          </w:tcPr>
          <w:p>
            <w:pPr>
              <w:pStyle w:val="null3"/>
            </w:pPr>
            <w:r>
              <w:rPr>
                <w:rFonts w:ascii="仿宋_GB2312" w:hAnsi="仿宋_GB2312" w:cs="仿宋_GB2312" w:eastAsia="仿宋_GB2312"/>
              </w:rPr>
              <w:t>审查投标文件是否符合招标文件规定的格式；</w:t>
            </w:r>
          </w:p>
        </w:tc>
        <w:tc>
          <w:tcPr>
            <w:tcW w:type="dxa" w:w="1661"/>
          </w:tcPr>
          <w:p>
            <w:pPr>
              <w:pStyle w:val="null3"/>
            </w:pPr>
            <w:r>
              <w:rPr>
                <w:rFonts w:ascii="仿宋_GB2312" w:hAnsi="仿宋_GB2312" w:cs="仿宋_GB2312" w:eastAsia="仿宋_GB2312"/>
              </w:rPr>
              <w:t>特定资格要求--汉中市政府采购供应商资格承诺函-响应格式.docx 特定资格要求--法人身份证明、授权委托书-响应格式.docx 实施方案——响应格式.docx 特定资格要求--主体资格-响应格式.docx 商务应答表 验收承诺函.docx 技术运维、质保服务方案——响应格式.docx 响应函 技术参数响应格式.docx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审查投标文件响应内容是否有重大缺漏项（负偏离）</w:t>
            </w:r>
          </w:p>
        </w:tc>
        <w:tc>
          <w:tcPr>
            <w:tcW w:type="dxa" w:w="3322"/>
          </w:tcPr>
          <w:p>
            <w:pPr>
              <w:pStyle w:val="null3"/>
            </w:pPr>
            <w:r>
              <w:rPr>
                <w:rFonts w:ascii="仿宋_GB2312" w:hAnsi="仿宋_GB2312" w:cs="仿宋_GB2312" w:eastAsia="仿宋_GB2312"/>
              </w:rPr>
              <w:t>审查投标文件响应内容是否有重大缺漏项（负偏离），包括但不限于对招标文件的商务响应及核心技术参数响应等</w:t>
            </w:r>
          </w:p>
        </w:tc>
        <w:tc>
          <w:tcPr>
            <w:tcW w:type="dxa" w:w="1661"/>
          </w:tcPr>
          <w:p>
            <w:pPr>
              <w:pStyle w:val="null3"/>
            </w:pPr>
            <w:r>
              <w:rPr>
                <w:rFonts w:ascii="仿宋_GB2312" w:hAnsi="仿宋_GB2312" w:cs="仿宋_GB2312" w:eastAsia="仿宋_GB2312"/>
              </w:rPr>
              <w:t>响应文件封面 实施方案——响应格式.docx 验收承诺函.docx 技术运维、质保服务方案——响应格式.docx 技术参数响应格式.docx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ind w:firstLine="960"/>
      </w:pPr>
      <w:r>
        <w:rPr>
          <w:rFonts w:ascii="仿宋_GB2312" w:hAnsi="仿宋_GB2312" w:cs="仿宋_GB2312" w:eastAsia="仿宋_GB2312"/>
        </w:rPr>
        <w:t>详见附件：验收承诺函.docx</w:t>
      </w:r>
    </w:p>
    <w:p>
      <w:pPr>
        <w:pStyle w:val="null3"/>
        <w:ind w:firstLine="960"/>
      </w:pPr>
      <w:r>
        <w:rPr>
          <w:rFonts w:ascii="仿宋_GB2312" w:hAnsi="仿宋_GB2312" w:cs="仿宋_GB2312" w:eastAsia="仿宋_GB2312"/>
        </w:rPr>
        <w:t>详见附件：实施方案——响应格式.docx</w:t>
      </w:r>
    </w:p>
    <w:p>
      <w:pPr>
        <w:pStyle w:val="null3"/>
        <w:ind w:firstLine="960"/>
      </w:pPr>
      <w:r>
        <w:rPr>
          <w:rFonts w:ascii="仿宋_GB2312" w:hAnsi="仿宋_GB2312" w:cs="仿宋_GB2312" w:eastAsia="仿宋_GB2312"/>
        </w:rPr>
        <w:t>详见附件：技术运维、质保服务方案——响应格式.docx</w:t>
      </w:r>
    </w:p>
    <w:p>
      <w:pPr>
        <w:pStyle w:val="null3"/>
        <w:ind w:firstLine="960"/>
      </w:pPr>
      <w:r>
        <w:rPr>
          <w:rFonts w:ascii="仿宋_GB2312" w:hAnsi="仿宋_GB2312" w:cs="仿宋_GB2312" w:eastAsia="仿宋_GB2312"/>
        </w:rPr>
        <w:t>详见附件：技术参数响应格式.docx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