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版本号：HC2025CG01720250904001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城固县丝路大道至张骞墓段文化街区提升改造施工图设计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HC2025CG017</w:t>
      </w:r>
      <w:r>
        <w:br/>
      </w:r>
      <w:r>
        <w:br/>
      </w:r>
      <w:r>
        <w:br/>
      </w:r>
    </w:p>
    <w:p>
      <w:pPr>
        <w:pStyle w:val="null3"/>
        <w:jc w:val="center"/>
        <w:outlineLvl w:val="2"/>
      </w:pPr>
      <w:r>
        <w:rPr>
          <w:rFonts w:ascii="仿宋_GB2312" w:hAnsi="仿宋_GB2312" w:cs="仿宋_GB2312" w:eastAsia="仿宋_GB2312"/>
          <w:sz w:val="28"/>
          <w:b/>
        </w:rPr>
        <w:t>城固县住房和城乡建设局</w:t>
      </w:r>
    </w:p>
    <w:p>
      <w:pPr>
        <w:pStyle w:val="null3"/>
        <w:jc w:val="center"/>
        <w:outlineLvl w:val="2"/>
      </w:pPr>
      <w:r>
        <w:rPr>
          <w:rFonts w:ascii="仿宋_GB2312" w:hAnsi="仿宋_GB2312" w:cs="仿宋_GB2312" w:eastAsia="仿宋_GB2312"/>
          <w:sz w:val="28"/>
          <w:b/>
        </w:rPr>
        <w:t>陕西华城建设项目管理有限公司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城固县住房和城乡建设局</w:t>
      </w:r>
      <w:r>
        <w:rPr>
          <w:rFonts w:ascii="仿宋_GB2312" w:hAnsi="仿宋_GB2312" w:cs="仿宋_GB2312" w:eastAsia="仿宋_GB2312"/>
        </w:rPr>
        <w:t>委托，拟对</w:t>
      </w:r>
      <w:r>
        <w:rPr>
          <w:rFonts w:ascii="仿宋_GB2312" w:hAnsi="仿宋_GB2312" w:cs="仿宋_GB2312" w:eastAsia="仿宋_GB2312"/>
        </w:rPr>
        <w:t>城固县丝路大道至张骞墓段文化街区提升改造施工图设计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HC2025CG017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城固县丝路大道至张骞墓段文化街区提升改造施工图设计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城固县丝路大道至张骞墓段文化街区提升改造施工图设计，主要是建筑外立面风貌提升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采购包1（城固县丝路大道至张骞墓段文化街区提升改造施工图设计）：属于专门面向中小企业采购。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能力的法人、其他组织或自然人，提供合法有效的统一社会信用代码营业执照或事业单位法人证书（自然人应提供身份证明）：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参加的，须提供本人身份证复印件并出示身份证原件；法定代表人授权他人参加的，须提供法定代表人委托授权书并出示被授权代表的身份证复印件及原件：法定代表人参加的，须提供本人身份证复印件并出示身份证原件；法定代表人授权他人参加的，须提供法定代表人委托授权书并出示被授权代表的身份证复印件及原件</w:t>
      </w:r>
    </w:p>
    <w:p>
      <w:pPr>
        <w:pStyle w:val="null3"/>
      </w:pPr>
      <w:r>
        <w:rPr>
          <w:rFonts w:ascii="仿宋_GB2312" w:hAnsi="仿宋_GB2312" w:cs="仿宋_GB2312" w:eastAsia="仿宋_GB2312"/>
        </w:rPr>
        <w:t>3、出具投标人通过“信用中国”网站(www.creditchina.gov.cn)查询未列入失信被执行人和重大税收违法案件当事人名单的证明资料：出具投标人通过“信用中国”网站(www.creditchina.gov.cn)查询未列入失信被执行人和重大税收违法案件当事人名单的证明资料</w:t>
      </w:r>
    </w:p>
    <w:p>
      <w:pPr>
        <w:pStyle w:val="null3"/>
      </w:pPr>
      <w:r>
        <w:rPr>
          <w:rFonts w:ascii="仿宋_GB2312" w:hAnsi="仿宋_GB2312" w:cs="仿宋_GB2312" w:eastAsia="仿宋_GB2312"/>
        </w:rPr>
        <w:t>4、出具投标人参加政府采购活动前3年内在经营活动中没有重大违法记录的书面声明：出具投标人参加政府采购活动前3年内在经营活动中没有重大违法记录的书面声明</w:t>
      </w:r>
    </w:p>
    <w:p>
      <w:pPr>
        <w:pStyle w:val="null3"/>
      </w:pPr>
      <w:r>
        <w:rPr>
          <w:rFonts w:ascii="仿宋_GB2312" w:hAnsi="仿宋_GB2312" w:cs="仿宋_GB2312" w:eastAsia="仿宋_GB2312"/>
        </w:rPr>
        <w:t>5、行业资质：供应商需具备工程设计综合资质甲级或建筑行业工程设计乙级及以上资质或建筑行业（建筑工程）专业设计乙级及以上资质；拟派设计负责人须具备相关专业高级工程师职称；</w:t>
      </w:r>
    </w:p>
    <w:p>
      <w:pPr>
        <w:pStyle w:val="null3"/>
      </w:pPr>
      <w:r>
        <w:rPr>
          <w:rFonts w:ascii="仿宋_GB2312" w:hAnsi="仿宋_GB2312" w:cs="仿宋_GB2312" w:eastAsia="仿宋_GB2312"/>
        </w:rPr>
        <w:t>6、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7、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pPr>
      <w:r>
        <w:rPr>
          <w:rFonts w:ascii="仿宋_GB2312" w:hAnsi="仿宋_GB2312" w:cs="仿宋_GB2312" w:eastAsia="仿宋_GB2312"/>
        </w:rPr>
        <w:t>8、投标保证金：投标保证金转账凭证或保函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城固县东环一路南段5号院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7211654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陕西省汉中市汉台区天汉大道钟楼商业办公联建楼六楼606号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13484891074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开户银行：中国工商银行汉中分行中山街支行</w:t>
            </w:r>
          </w:p>
          <w:p>
            <w:pPr>
              <w:pStyle w:val="null3"/>
            </w:pPr>
            <w:r>
              <w:rPr>
                <w:rFonts w:ascii="仿宋_GB2312" w:hAnsi="仿宋_GB2312" w:cs="仿宋_GB2312" w:eastAsia="仿宋_GB2312"/>
              </w:rPr>
              <w:t>银行账号：2606 0502 0924 5102 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代理服务费收费标准：代理服务费依据《国家发展和改革委员会文件（发改价格【2011】534号）&lt;调整后的招标代理服务收费标准&gt;的通知》， （服务类招标，100万以下，按1.5%计取）,由中标单位支付。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城固县住房和城乡建设局</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联系电话：0916-7217799</w:t>
      </w:r>
    </w:p>
    <w:p>
      <w:pPr>
        <w:pStyle w:val="null3"/>
      </w:pPr>
      <w:r>
        <w:rPr>
          <w:rFonts w:ascii="仿宋_GB2312" w:hAnsi="仿宋_GB2312" w:cs="仿宋_GB2312" w:eastAsia="仿宋_GB2312"/>
        </w:rPr>
        <w:t>地址：陕西省汉中市城固县民主街东段电子商务产业园205室</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对城固县丝路大道至张骞墓段文化街区改造进行施工图设计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6"/>
              <w:gridCol w:w="487"/>
              <w:gridCol w:w="487"/>
              <w:gridCol w:w="237"/>
              <w:gridCol w:w="479"/>
              <w:gridCol w:w="422"/>
              <w:gridCol w:w="253"/>
            </w:tblGrid>
            <w:tr>
              <w:tc>
                <w:tcPr>
                  <w:tcW w:type="dxa" w:w="166"/>
                  <w:tcBorders>
                    <w:top w:val="single" w:color="333333"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8"/>
                      <w:shd w:fill="FFFFFF" w:val="clear"/>
                    </w:rPr>
                    <w:t>品目号</w:t>
                  </w:r>
                </w:p>
              </w:tc>
              <w:tc>
                <w:tcPr>
                  <w:tcW w:type="dxa" w:w="487"/>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8"/>
                      <w:shd w:fill="FFFFFF" w:val="clear"/>
                    </w:rPr>
                    <w:t>品目名称</w:t>
                  </w:r>
                </w:p>
              </w:tc>
              <w:tc>
                <w:tcPr>
                  <w:tcW w:type="dxa" w:w="487"/>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8"/>
                      <w:shd w:fill="FFFFFF" w:val="clear"/>
                    </w:rPr>
                    <w:t>采购标的</w:t>
                  </w:r>
                </w:p>
              </w:tc>
              <w:tc>
                <w:tcPr>
                  <w:tcW w:type="dxa" w:w="237"/>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8"/>
                      <w:shd w:fill="FFFFFF" w:val="clear"/>
                    </w:rPr>
                    <w:t>数量（单位）</w:t>
                  </w:r>
                </w:p>
              </w:tc>
              <w:tc>
                <w:tcPr>
                  <w:tcW w:type="dxa" w:w="479"/>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8"/>
                      <w:shd w:fill="FFFFFF" w:val="clear"/>
                    </w:rPr>
                    <w:t>技术规格、参数及要求</w:t>
                  </w:r>
                </w:p>
              </w:tc>
              <w:tc>
                <w:tcPr>
                  <w:tcW w:type="dxa" w:w="422"/>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8"/>
                      <w:shd w:fill="FFFFFF" w:val="clear"/>
                    </w:rPr>
                    <w:t>品目预算</w:t>
                  </w:r>
                  <w:r>
                    <w:rPr>
                      <w:rFonts w:ascii="仿宋_GB2312" w:hAnsi="仿宋_GB2312" w:cs="仿宋_GB2312" w:eastAsia="仿宋_GB2312"/>
                      <w:sz w:val="28"/>
                      <w:shd w:fill="FFFFFF" w:val="clear"/>
                    </w:rPr>
                    <w:t>(元)</w:t>
                  </w:r>
                </w:p>
              </w:tc>
              <w:tc>
                <w:tcPr>
                  <w:tcW w:type="dxa" w:w="253"/>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8"/>
                      <w:shd w:fill="FFFFFF" w:val="clear"/>
                    </w:rPr>
                    <w:t>最高限价</w:t>
                  </w:r>
                  <w:r>
                    <w:rPr>
                      <w:rFonts w:ascii="仿宋_GB2312" w:hAnsi="仿宋_GB2312" w:cs="仿宋_GB2312" w:eastAsia="仿宋_GB2312"/>
                      <w:sz w:val="28"/>
                      <w:shd w:fill="FFFFFF" w:val="clear"/>
                    </w:rPr>
                    <w:t>(元)</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8"/>
                      <w:shd w:fill="FFFFFF" w:val="clear"/>
                    </w:rPr>
                    <w:t>1</w:t>
                  </w:r>
                </w:p>
              </w:tc>
              <w:tc>
                <w:tcPr>
                  <w:tcW w:type="dxa" w:w="48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pPr>
                  <w:r>
                    <w:rPr>
                      <w:rFonts w:ascii="仿宋_GB2312" w:hAnsi="仿宋_GB2312" w:cs="仿宋_GB2312" w:eastAsia="仿宋_GB2312"/>
                      <w:sz w:val="19"/>
                    </w:rPr>
                    <w:t>城固县丝路大道至张骞墓段文化街区提升改造施工图设计</w:t>
                  </w:r>
                </w:p>
              </w:tc>
              <w:tc>
                <w:tcPr>
                  <w:tcW w:type="dxa" w:w="48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pPr>
                  <w:r>
                    <w:rPr>
                      <w:rFonts w:ascii="仿宋_GB2312" w:hAnsi="仿宋_GB2312" w:cs="仿宋_GB2312" w:eastAsia="仿宋_GB2312"/>
                      <w:sz w:val="19"/>
                    </w:rPr>
                    <w:t>城固县丝路大道至张骞墓段文化街区提升改造施工图设计</w:t>
                  </w:r>
                </w:p>
              </w:tc>
              <w:tc>
                <w:tcPr>
                  <w:tcW w:type="dxa" w:w="23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8"/>
                      <w:shd w:fill="FFFFFF" w:val="clear"/>
                    </w:rPr>
                    <w:t>1(项)</w:t>
                  </w:r>
                </w:p>
              </w:tc>
              <w:tc>
                <w:tcPr>
                  <w:tcW w:type="dxa" w:w="479"/>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8"/>
                      <w:shd w:fill="FFFFFF" w:val="clear"/>
                    </w:rPr>
                    <w:t>街区设计图</w:t>
                  </w:r>
                </w:p>
              </w:tc>
              <w:tc>
                <w:tcPr>
                  <w:tcW w:type="dxa" w:w="422"/>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right"/>
                  </w:pPr>
                  <w:r>
                    <w:rPr>
                      <w:rFonts w:ascii="仿宋_GB2312" w:hAnsi="仿宋_GB2312" w:cs="仿宋_GB2312" w:eastAsia="仿宋_GB2312"/>
                      <w:sz w:val="28"/>
                      <w:shd w:fill="FFFFFF" w:val="clear"/>
                    </w:rPr>
                    <w:t>500000.00</w:t>
                  </w:r>
                </w:p>
              </w:tc>
              <w:tc>
                <w:tcPr>
                  <w:tcW w:type="dxa" w:w="253"/>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right"/>
                  </w:pPr>
                  <w:r>
                    <w:rPr>
                      <w:rFonts w:ascii="仿宋_GB2312" w:hAnsi="仿宋_GB2312" w:cs="仿宋_GB2312" w:eastAsia="仿宋_GB2312"/>
                      <w:sz w:val="28"/>
                      <w:shd w:fill="FFFFFF" w:val="clear"/>
                    </w:rPr>
                    <w:t>500000.00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设计方案合格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甲方确认无误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乙方提交成果文件并经甲方确认无误</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法定代表人参加的，须提供本人身份证复印件并出示身份证原件；法定代表人授权他人参加的，须提供法定代表人委托授权书并出示被授权代表的身份证复印件及原件</w:t>
            </w:r>
          </w:p>
        </w:tc>
        <w:tc>
          <w:tcPr>
            <w:tcW w:type="dxa" w:w="3322"/>
          </w:tcPr>
          <w:p>
            <w:pPr>
              <w:pStyle w:val="null3"/>
            </w:pPr>
            <w:r>
              <w:rPr>
                <w:rFonts w:ascii="仿宋_GB2312" w:hAnsi="仿宋_GB2312" w:cs="仿宋_GB2312" w:eastAsia="仿宋_GB2312"/>
              </w:rPr>
              <w:t>法定代表人参加的，须提供本人身份证复印件并出示身份证原件；法定代表人授权他人参加的，须提供法定代表人委托授权书并出示被授权代表的身份证复印件及原件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出具投标人通过“信用中国”网站(www.creditchina.gov.cn)查询未列入失信被执行人和重大税收违法案件当事人名单的证明资料</w:t>
            </w:r>
          </w:p>
        </w:tc>
        <w:tc>
          <w:tcPr>
            <w:tcW w:type="dxa" w:w="3322"/>
          </w:tcPr>
          <w:p>
            <w:pPr>
              <w:pStyle w:val="null3"/>
            </w:pPr>
            <w:r>
              <w:rPr>
                <w:rFonts w:ascii="仿宋_GB2312" w:hAnsi="仿宋_GB2312" w:cs="仿宋_GB2312" w:eastAsia="仿宋_GB2312"/>
              </w:rPr>
              <w:t>出具投标人通过“信用中国”网站(www.creditchina.gov.cn)查询未列入失信被执行人和重大税收违法案件当事人名单的证明资料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出具投标人参加政府采购活动前3年内在经营活动中没有重大违法记录的书面声明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行业资质</w:t>
            </w:r>
          </w:p>
        </w:tc>
        <w:tc>
          <w:tcPr>
            <w:tcW w:type="dxa" w:w="3322"/>
          </w:tcPr>
          <w:p>
            <w:pPr>
              <w:pStyle w:val="null3"/>
            </w:pPr>
            <w:r>
              <w:rPr>
                <w:rFonts w:ascii="仿宋_GB2312" w:hAnsi="仿宋_GB2312" w:cs="仿宋_GB2312" w:eastAsia="仿宋_GB2312"/>
              </w:rPr>
              <w:t>供应商需具备工程设计综合资质甲级或建筑行业工程设计乙级及以上资质或建筑行业（建筑工程）专业设计乙级及以上资质；拟派设计负责人须具备相关专业高级工程师职称；</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响应函 汉中市政府采购供应商资格承诺函.docx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投标保证金转账凭证或保函</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供应商名称和公章、营业执照、资质证书等一致</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响应文件构成无缺项，按照谈判文件要求的格式编写</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审查投标文件响应内容是否有重大缺漏项</w:t>
            </w:r>
          </w:p>
        </w:tc>
        <w:tc>
          <w:tcPr>
            <w:tcW w:type="dxa" w:w="1661"/>
          </w:tcPr>
          <w:p>
            <w:pPr>
              <w:pStyle w:val="null3"/>
            </w:pPr>
            <w:r>
              <w:rPr>
                <w:rFonts w:ascii="仿宋_GB2312" w:hAnsi="仿宋_GB2312" w:cs="仿宋_GB2312" w:eastAsia="仿宋_GB2312"/>
              </w:rPr>
              <w:t>响应文件封面 服务内容及服务邀请应答表 商务应答表 供应商应提交的相关资格证明材料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1、对供应商针对本项目提供的总体设计方案，对项目总体认识全面深刻，论述完整清晰、难度描述准确，计划合理，综合措施科学进行打分。（10分） （1）设计方案内容详尽充实，且包含但不限于上述标准的计（5-10分] ； （2）设计方案内容无缺漏，对所要求内容描述符合招标文件的计（0-5分]； （3）其他情形计[0-5分]； 2、对供应商针对本项目提供的设计服务流程的完整性、业务分工的清晰程度、工作实施的可行性及完成时间等内容。（10分） （1）服务流程内容详尽充实，且包含但不限于上述标准的计（7-10分]； （2）服务流程内容无缺漏，对所要求内容描述符合招标文件的计（5-7分]； （3）其他情形计[0-5分]。 3、对供应商针对本项目提供的设计服务流程的完整性、业务分工的清晰程度、工作实施的可行性及完成时间等内容。（10分） （1）服务流程内容详尽充实，且包含但不限于上述标准的计（7-10分]； （2）服务流程内容无缺漏，对所要求内容描述符合招标文件的计（5-7分]； （3）其他情形计[0-5分]。 4、对本项目工作阶段中成果文件的内容、形式及提交计划的说明，对本次设计工作进行有效拆解，对各阶段计划设计内容描述充实，形式条理清晰，计划有序，阶段性提交成果文件明确，切合采购人需求。（7分） （1）内容详尽充实，且包含但不限于上述标准的计（5-7分]； （2）内容无缺漏，对所要求内容描述符合招标文件的计（3-5分]； （3）其他情形计[0-3分]。 5、对供应商提出的进度及质量保障措施、廉洁及保密保证措施、防控措施等进行综合比较。（7分） （1）内容完整详尽充实，措施严禁得当，且不限于上述所要求内容的计（5-7分] ； （2）内容无缺漏，措施符合招标要求的计（3-5分] ； （3）不符合上述两种情形的计[0-3分]。 6、供应商根据本项目的实际情况，提出的重难点分析及解决方案。（6分） 重难点分析及解决方案内容完善，条理清晰，计划有序，有独到的见解且有针对性的计（4-6分]； 提出重难点分析及解决方案但与项目采购需求有偏离的计（3-5分]； （3）不符合上述两种情形的计[0-3分]。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1、供应商对本项目的承诺（包括但不限于服务质量承诺、服务期限、人员到位、成交后项目实施等方面），承诺内容完善，对所要求内容描述详尽的计（3-5分] ；其他情形计[0-3分]。 2、合理化建议，建议内容有可操作性，具有积极意义的计（3-5分] ；其他情形计[0-3分]。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人员配备（10分） 1、项目负责人：具备高级工程师以上职称得1分，同时具备注册建筑师加2分。本项最多得3分。 2、结构专业人员：具备高级工程师及以上职称得1分，同时具备注册结构工程师加2分。本项最多得3分。 3、给排水专业人员：具备高级工程师及以上职称得1分，同时具备注册公用设备工程师（给水排水）加2分。本项最多得3分。 4、电气专业负责人：具备高级工程师及以上职称得1 分。本项最多得1分。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业绩履约能力</w:t>
            </w:r>
          </w:p>
        </w:tc>
        <w:tc>
          <w:tcPr>
            <w:tcW w:type="dxa" w:w="2492"/>
          </w:tcPr>
          <w:p>
            <w:pPr>
              <w:pStyle w:val="null3"/>
            </w:pPr>
            <w:r>
              <w:rPr>
                <w:rFonts w:ascii="仿宋_GB2312" w:hAnsi="仿宋_GB2312" w:cs="仿宋_GB2312" w:eastAsia="仿宋_GB2312"/>
              </w:rPr>
              <w:t>提供投标人2022年1月1日建筑工程类及相关专业业绩，业绩以合同或中标（成交）通知书为依据，投标文件中附有其证明资料，每提供一个业绩证明计2分，满分10分。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 格分为满分。其他投标供应商的价格分统一按照下列公式计算：投 标报价得分＝（评标基准价／投标报价）x20%x100。按照财政部财库【2007】2号、【2011】181号、【2014】68号、 【2006】90号、【2017】141文件的有关规定，对小型、微型企业、 监狱企业、残疾人福利性单位产品价格给予6％的扣除，用扣除后的 价格参与评审。对国家认定的节能环保产品给予价格评标总分值4% 的加分。同时符合多项扶持政策的，价格扣除和加分因素可以叠加 计算。</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详见附件：采购项目合同范本.docx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