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版本号：YSY2025-CG-01120250903001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城固县城市更新项目（108国道沿线博望憩园口袋公园景观工程）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YSY2025-CG-011</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城固县城市更新项目（108国道沿线博望憩园口袋公园景观工程）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城固县城市更新项目（108国道沿线博望憩园口袋公园景观工程）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该项目主要建设内容为路面铺装，不锈钢艺术字制作，原景墙新做丙烯颜料彩绘，新做花池坐凳、景观坐凳，新做LOGO标识，新建雨水口、手孔井，新建长廊，栽植各类乔木、灌木、色带等。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采购包1（城固县城市更新项目（108国道沿线博望憩园口袋公园景观工程））：属于专门面向中小企业采购。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人身份证明或授权委托：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3、企业资质要求：须具备建设行政主管部门颁发的建筑施工总承包三级以上（含三级）资质或建筑装修装饰工程专业承包二级(及以上)资质，并具备有效的安全生产许可证。</w:t>
      </w:r>
    </w:p>
    <w:p>
      <w:pPr>
        <w:pStyle w:val="null3"/>
      </w:pPr>
      <w:r>
        <w:rPr>
          <w:rFonts w:ascii="仿宋_GB2312" w:hAnsi="仿宋_GB2312" w:cs="仿宋_GB2312" w:eastAsia="仿宋_GB2312"/>
        </w:rPr>
        <w:t>4、拟派项目负责人：拟派项目负责人须具备建筑工程专业二级及以上注册建造师资格，并具有行业主管部门核发的安全生产考核合格B证，且无在建项目；</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6、非联合体承诺：本项目不接受联合体投标，需提供非联合体书面声明；</w:t>
      </w:r>
    </w:p>
    <w:p>
      <w:pPr>
        <w:pStyle w:val="null3"/>
      </w:pPr>
      <w:r>
        <w:rPr>
          <w:rFonts w:ascii="仿宋_GB2312" w:hAnsi="仿宋_GB2312" w:cs="仿宋_GB2312" w:eastAsia="仿宋_GB2312"/>
        </w:rPr>
        <w:t>7、投标保证金：需提供投标保证金转账截图；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13992656001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采购包1：614,310.37元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2、采购代理服务费的缴纳方式：在领取《成交通知书》时向采购代理机构一次性全额缴纳采购代理服务费。3、代理服务费的具体金额后续见本项目中标结果公告。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达到国家质量检验与评定标准合格质量等级</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614,310.37</w:t>
      </w:r>
    </w:p>
    <w:p>
      <w:pPr>
        <w:pStyle w:val="null3"/>
      </w:pPr>
      <w:r>
        <w:rPr>
          <w:rFonts w:ascii="仿宋_GB2312" w:hAnsi="仿宋_GB2312" w:cs="仿宋_GB2312" w:eastAsia="仿宋_GB2312"/>
        </w:rPr>
        <w:t>采购包最高限价（元）: 614,310.37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614310.37</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614,310.37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标的名称：614310.37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一、</w:t>
            </w:r>
            <w:r>
              <w:rPr>
                <w:rFonts w:ascii="仿宋_GB2312" w:hAnsi="仿宋_GB2312" w:cs="仿宋_GB2312" w:eastAsia="仿宋_GB2312"/>
                <w:sz w:val="18"/>
                <w:b/>
                <w:color w:val="000000"/>
              </w:rPr>
              <w:t>工程概况</w:t>
            </w:r>
          </w:p>
          <w:p>
            <w:pPr>
              <w:pStyle w:val="null3"/>
              <w:ind w:firstLine="560"/>
              <w:jc w:val="both"/>
            </w:pPr>
            <w:r>
              <w:rPr>
                <w:rFonts w:ascii="仿宋_GB2312" w:hAnsi="仿宋_GB2312" w:cs="仿宋_GB2312" w:eastAsia="仿宋_GB2312"/>
                <w:sz w:val="18"/>
              </w:rPr>
              <w:t>本项目为城固县城市更新项目（</w:t>
            </w:r>
            <w:r>
              <w:rPr>
                <w:rFonts w:ascii="仿宋_GB2312" w:hAnsi="仿宋_GB2312" w:cs="仿宋_GB2312" w:eastAsia="仿宋_GB2312"/>
                <w:sz w:val="18"/>
              </w:rPr>
              <w:t>108国道沿线博望憩园口袋公园景观工程）项目</w:t>
            </w:r>
            <w:r>
              <w:rPr>
                <w:rFonts w:ascii="仿宋_GB2312" w:hAnsi="仿宋_GB2312" w:cs="仿宋_GB2312" w:eastAsia="仿宋_GB2312"/>
                <w:sz w:val="18"/>
              </w:rPr>
              <w:t>，</w:t>
            </w:r>
            <w:r>
              <w:rPr>
                <w:rFonts w:ascii="仿宋_GB2312" w:hAnsi="仿宋_GB2312" w:cs="仿宋_GB2312" w:eastAsia="仿宋_GB2312"/>
                <w:sz w:val="18"/>
              </w:rPr>
              <w:t>主要建设内容为路面铺装，不锈钢艺术字制作，原景墙新做丙烯颜料彩绘，新做花池坐凳、景观坐凳，新做</w:t>
            </w:r>
            <w:r>
              <w:rPr>
                <w:rFonts w:ascii="仿宋_GB2312" w:hAnsi="仿宋_GB2312" w:cs="仿宋_GB2312" w:eastAsia="仿宋_GB2312"/>
                <w:sz w:val="18"/>
              </w:rPr>
              <w:t>LOGO标识，新建雨水口、手孔井，新建长廊，栽植各类乔木、灌木、色带等。</w:t>
            </w:r>
          </w:p>
          <w:p>
            <w:pPr>
              <w:pStyle w:val="null3"/>
              <w:jc w:val="both"/>
            </w:pPr>
            <w:r>
              <w:rPr>
                <w:rFonts w:ascii="仿宋_GB2312" w:hAnsi="仿宋_GB2312" w:cs="仿宋_GB2312" w:eastAsia="仿宋_GB2312"/>
                <w:sz w:val="18"/>
                <w:b/>
              </w:rPr>
              <w:t>二</w:t>
            </w:r>
            <w:r>
              <w:rPr>
                <w:rFonts w:ascii="仿宋_GB2312" w:hAnsi="仿宋_GB2312" w:cs="仿宋_GB2312" w:eastAsia="仿宋_GB2312"/>
                <w:sz w:val="18"/>
                <w:b/>
              </w:rPr>
              <w:t>、编制依据：</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城固县城市更新项目（</w:t>
            </w:r>
            <w:r>
              <w:rPr>
                <w:rFonts w:ascii="仿宋_GB2312" w:hAnsi="仿宋_GB2312" w:cs="仿宋_GB2312" w:eastAsia="仿宋_GB2312"/>
                <w:sz w:val="18"/>
              </w:rPr>
              <w:t>108国道沿线博望憩园口袋公园景观工程）</w:t>
            </w:r>
            <w:r>
              <w:rPr>
                <w:rFonts w:ascii="仿宋_GB2312" w:hAnsi="仿宋_GB2312" w:cs="仿宋_GB2312" w:eastAsia="仿宋_GB2312"/>
                <w:sz w:val="18"/>
              </w:rPr>
              <w:t>项目施工图纸</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2、建设工程文件及相关资料;</w:t>
            </w:r>
          </w:p>
          <w:p>
            <w:pPr>
              <w:pStyle w:val="null3"/>
              <w:ind w:firstLine="560"/>
              <w:jc w:val="both"/>
            </w:pPr>
            <w:r>
              <w:rPr>
                <w:rFonts w:ascii="仿宋_GB2312" w:hAnsi="仿宋_GB2312" w:cs="仿宋_GB2312" w:eastAsia="仿宋_GB2312"/>
                <w:sz w:val="18"/>
              </w:rPr>
              <w:t>3、与建设项目相关的标准、规范等技术资料;</w:t>
            </w:r>
          </w:p>
          <w:p>
            <w:pPr>
              <w:pStyle w:val="null3"/>
              <w:ind w:firstLine="560"/>
              <w:jc w:val="both"/>
            </w:pPr>
            <w:r>
              <w:rPr>
                <w:rFonts w:ascii="仿宋_GB2312" w:hAnsi="仿宋_GB2312" w:cs="仿宋_GB2312" w:eastAsia="仿宋_GB2312"/>
                <w:sz w:val="18"/>
              </w:rPr>
              <w:t>4、</w:t>
            </w:r>
            <w:r>
              <w:rPr>
                <w:rFonts w:ascii="仿宋_GB2312" w:hAnsi="仿宋_GB2312" w:cs="仿宋_GB2312" w:eastAsia="仿宋_GB2312"/>
                <w:sz w:val="18"/>
              </w:rPr>
              <w:t>陕西省建设工程费规则</w:t>
            </w:r>
            <w:r>
              <w:rPr>
                <w:rFonts w:ascii="仿宋_GB2312" w:hAnsi="仿宋_GB2312" w:cs="仿宋_GB2312" w:eastAsia="仿宋_GB2312"/>
                <w:sz w:val="18"/>
              </w:rPr>
              <w:t>(2025)</w:t>
            </w:r>
          </w:p>
          <w:p>
            <w:pPr>
              <w:pStyle w:val="null3"/>
              <w:ind w:left="840"/>
              <w:jc w:val="both"/>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陕西省工程建设标准</w:t>
            </w:r>
            <w:r>
              <w:rPr>
                <w:rFonts w:ascii="仿宋_GB2312" w:hAnsi="仿宋_GB2312" w:cs="仿宋_GB2312" w:eastAsia="仿宋_GB2312"/>
                <w:sz w:val="18"/>
              </w:rPr>
              <w:t>《</w:t>
            </w:r>
            <w:r>
              <w:rPr>
                <w:rFonts w:ascii="仿宋_GB2312" w:hAnsi="仿宋_GB2312" w:cs="仿宋_GB2312" w:eastAsia="仿宋_GB2312"/>
                <w:sz w:val="18"/>
              </w:rPr>
              <w:t>房屋建筑与装饰工程工程量</w:t>
            </w:r>
            <w:r>
              <w:rPr>
                <w:rFonts w:ascii="仿宋_GB2312" w:hAnsi="仿宋_GB2312" w:cs="仿宋_GB2312" w:eastAsia="仿宋_GB2312"/>
                <w:sz w:val="18"/>
              </w:rPr>
              <w:t>计算标准《</w:t>
            </w:r>
            <w:r>
              <w:rPr>
                <w:rFonts w:ascii="仿宋_GB2312" w:hAnsi="仿宋_GB2312" w:cs="仿宋_GB2312" w:eastAsia="仿宋_GB2312"/>
                <w:sz w:val="18"/>
              </w:rPr>
              <w:t>(2025);</w:t>
            </w:r>
          </w:p>
          <w:p>
            <w:pPr>
              <w:pStyle w:val="null3"/>
              <w:ind w:firstLine="560"/>
              <w:jc w:val="both"/>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陕西省房屋建筑与装饰工程消耗量定额</w:t>
            </w:r>
            <w:r>
              <w:rPr>
                <w:rFonts w:ascii="仿宋_GB2312" w:hAnsi="仿宋_GB2312" w:cs="仿宋_GB2312" w:eastAsia="仿宋_GB2312"/>
                <w:sz w:val="18"/>
              </w:rPr>
              <w:t>(2025);</w:t>
            </w:r>
          </w:p>
          <w:p>
            <w:pPr>
              <w:pStyle w:val="null3"/>
              <w:ind w:left="555"/>
              <w:jc w:val="both"/>
            </w:pPr>
            <w:r>
              <w:rPr>
                <w:rFonts w:ascii="仿宋_GB2312" w:hAnsi="仿宋_GB2312" w:cs="仿宋_GB2312" w:eastAsia="仿宋_GB2312"/>
                <w:sz w:val="18"/>
              </w:rPr>
              <w:t>7</w:t>
            </w:r>
            <w:r>
              <w:rPr>
                <w:rFonts w:ascii="仿宋_GB2312" w:hAnsi="仿宋_GB2312" w:cs="仿宋_GB2312" w:eastAsia="仿宋_GB2312"/>
                <w:sz w:val="18"/>
              </w:rPr>
              <w:t>、陕建管发〔</w:t>
            </w:r>
            <w:r>
              <w:rPr>
                <w:rFonts w:ascii="仿宋_GB2312" w:hAnsi="仿宋_GB2312" w:cs="仿宋_GB2312" w:eastAsia="仿宋_GB2312"/>
                <w:sz w:val="18"/>
              </w:rPr>
              <w:t>2025〕10号，《陕西省住房和城乡建设厅关于印发 2025 陕西省建设工程费用规则等计价依据的通知》</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、问题说明</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所有规费均已计入；</w:t>
            </w:r>
          </w:p>
          <w:p>
            <w:pPr>
              <w:pStyle w:val="null3"/>
              <w:ind w:firstLine="560"/>
              <w:jc w:val="both"/>
            </w:pPr>
            <w:r>
              <w:rPr>
                <w:rFonts w:ascii="仿宋_GB2312" w:hAnsi="仿宋_GB2312" w:cs="仿宋_GB2312" w:eastAsia="仿宋_GB2312"/>
                <w:sz w:val="18"/>
              </w:rPr>
              <w:t>2、混凝土按商品混凝土计入；</w:t>
            </w:r>
          </w:p>
          <w:p>
            <w:pPr>
              <w:pStyle w:val="null3"/>
              <w:ind w:firstLine="560"/>
              <w:jc w:val="both"/>
            </w:pPr>
            <w:r>
              <w:rPr>
                <w:rFonts w:ascii="仿宋_GB2312" w:hAnsi="仿宋_GB2312" w:cs="仿宋_GB2312" w:eastAsia="仿宋_GB2312"/>
                <w:sz w:val="18"/>
              </w:rPr>
              <w:t>3、现场余方、弃渣运距暂按5km计入；</w:t>
            </w:r>
          </w:p>
          <w:p>
            <w:pPr>
              <w:pStyle w:val="null3"/>
              <w:ind w:firstLine="560"/>
              <w:jc w:val="both"/>
            </w:pPr>
            <w:r>
              <w:rPr>
                <w:rFonts w:ascii="仿宋_GB2312" w:hAnsi="仿宋_GB2312" w:cs="仿宋_GB2312" w:eastAsia="仿宋_GB2312"/>
                <w:sz w:val="18"/>
              </w:rPr>
              <w:t>4、原场地拆除未考虑；</w:t>
            </w:r>
          </w:p>
          <w:p>
            <w:pPr>
              <w:pStyle w:val="null3"/>
              <w:ind w:firstLine="560"/>
              <w:jc w:val="both"/>
            </w:pPr>
            <w:r>
              <w:rPr>
                <w:rFonts w:ascii="仿宋_GB2312" w:hAnsi="仿宋_GB2312" w:cs="仿宋_GB2312" w:eastAsia="仿宋_GB2312"/>
                <w:sz w:val="18"/>
              </w:rPr>
              <w:t>5、原景墙面层拆除按涂料考虑；</w:t>
            </w:r>
          </w:p>
          <w:p>
            <w:pPr>
              <w:pStyle w:val="null3"/>
              <w:ind w:firstLine="560"/>
              <w:jc w:val="both"/>
            </w:pPr>
            <w:r>
              <w:rPr>
                <w:rFonts w:ascii="仿宋_GB2312" w:hAnsi="仿宋_GB2312" w:cs="仿宋_GB2312" w:eastAsia="仿宋_GB2312"/>
                <w:sz w:val="18"/>
              </w:rPr>
              <w:t>6、回填种植土未考虑；</w:t>
            </w:r>
          </w:p>
          <w:p>
            <w:pPr>
              <w:pStyle w:val="null3"/>
              <w:ind w:firstLine="560"/>
              <w:jc w:val="both"/>
            </w:pPr>
            <w:r>
              <w:rPr>
                <w:rFonts w:ascii="仿宋_GB2312" w:hAnsi="仿宋_GB2312" w:cs="仿宋_GB2312" w:eastAsia="仿宋_GB2312"/>
                <w:sz w:val="18"/>
              </w:rPr>
              <w:t>7、</w:t>
            </w:r>
            <w:r>
              <w:rPr>
                <w:rFonts w:ascii="仿宋_GB2312" w:hAnsi="仿宋_GB2312" w:cs="仿宋_GB2312" w:eastAsia="仿宋_GB2312"/>
                <w:sz w:val="18"/>
              </w:rPr>
              <w:t>本工程列入暂列金</w:t>
            </w:r>
            <w:r>
              <w:rPr>
                <w:rFonts w:ascii="仿宋_GB2312" w:hAnsi="仿宋_GB2312" w:cs="仿宋_GB2312" w:eastAsia="仿宋_GB2312"/>
                <w:sz w:val="18"/>
              </w:rPr>
              <w:t>28000.00元,待工程竣工时据实结算；</w:t>
            </w:r>
          </w:p>
          <w:p>
            <w:pPr>
              <w:pStyle w:val="null3"/>
              <w:ind w:firstLine="560"/>
              <w:jc w:val="both"/>
            </w:pPr>
            <w:r>
              <w:rPr>
                <w:rFonts w:ascii="仿宋_GB2312" w:hAnsi="仿宋_GB2312" w:cs="仿宋_GB2312" w:eastAsia="仿宋_GB2312"/>
                <w:sz w:val="18"/>
              </w:rPr>
              <w:t>8、以下各项为暂定综合单价：</w:t>
            </w:r>
          </w:p>
          <w:p>
            <w:pPr>
              <w:pStyle w:val="null3"/>
              <w:ind w:firstLine="560"/>
              <w:jc w:val="both"/>
            </w:pPr>
            <w:r>
              <w:rPr>
                <w:rFonts w:ascii="仿宋_GB2312" w:hAnsi="仿宋_GB2312" w:cs="仿宋_GB2312" w:eastAsia="仿宋_GB2312"/>
                <w:sz w:val="18"/>
              </w:rPr>
              <w:t>8.1  2</w:t>
            </w:r>
            <w:r>
              <w:rPr>
                <w:rFonts w:ascii="仿宋_GB2312" w:hAnsi="仿宋_GB2312" w:cs="仿宋_GB2312" w:eastAsia="仿宋_GB2312"/>
                <w:sz w:val="18"/>
              </w:rPr>
              <w:t>mm</w:t>
            </w:r>
            <w:r>
              <w:rPr>
                <w:rFonts w:ascii="仿宋_GB2312" w:hAnsi="仿宋_GB2312" w:cs="仿宋_GB2312" w:eastAsia="仿宋_GB2312"/>
                <w:sz w:val="18"/>
              </w:rPr>
              <w:t>厚古铜金色不锈钢制作</w:t>
            </w:r>
            <w:r>
              <w:rPr>
                <w:rFonts w:ascii="仿宋_GB2312" w:hAnsi="仿宋_GB2312" w:cs="仿宋_GB2312" w:eastAsia="仿宋_GB2312"/>
                <w:sz w:val="18"/>
              </w:rPr>
              <w:t>10厚字,暂定综合单价600元/m2;</w:t>
            </w:r>
          </w:p>
          <w:p>
            <w:pPr>
              <w:pStyle w:val="null3"/>
              <w:ind w:firstLine="560"/>
              <w:jc w:val="both"/>
            </w:pPr>
            <w:r>
              <w:rPr>
                <w:rFonts w:ascii="仿宋_GB2312" w:hAnsi="仿宋_GB2312" w:cs="仿宋_GB2312" w:eastAsia="仿宋_GB2312"/>
                <w:sz w:val="18"/>
              </w:rPr>
              <w:t>8.2  5</w:t>
            </w:r>
            <w:r>
              <w:rPr>
                <w:rFonts w:ascii="仿宋_GB2312" w:hAnsi="仿宋_GB2312" w:cs="仿宋_GB2312" w:eastAsia="仿宋_GB2312"/>
                <w:sz w:val="18"/>
              </w:rPr>
              <w:t>mm</w:t>
            </w:r>
            <w:r>
              <w:rPr>
                <w:rFonts w:ascii="仿宋_GB2312" w:hAnsi="仿宋_GB2312" w:cs="仿宋_GB2312" w:eastAsia="仿宋_GB2312"/>
                <w:sz w:val="18"/>
              </w:rPr>
              <w:t>厚古铜金色不锈钢浮雕板</w:t>
            </w:r>
            <w:r>
              <w:rPr>
                <w:rFonts w:ascii="仿宋_GB2312" w:hAnsi="仿宋_GB2312" w:cs="仿宋_GB2312" w:eastAsia="仿宋_GB2312"/>
                <w:sz w:val="18"/>
              </w:rPr>
              <w:t>,暂定综合单价2000元/m2;</w:t>
            </w:r>
          </w:p>
          <w:p>
            <w:pPr>
              <w:pStyle w:val="null3"/>
              <w:ind w:firstLine="560"/>
              <w:jc w:val="both"/>
            </w:pPr>
            <w:r>
              <w:rPr>
                <w:rFonts w:ascii="仿宋_GB2312" w:hAnsi="仿宋_GB2312" w:cs="仿宋_GB2312" w:eastAsia="仿宋_GB2312"/>
                <w:sz w:val="18"/>
              </w:rPr>
              <w:t>8.3  丙烯颜料彩绘,暂定综合单价300元/m2;</w:t>
            </w:r>
          </w:p>
          <w:p>
            <w:pPr>
              <w:pStyle w:val="null3"/>
              <w:ind w:firstLine="560"/>
              <w:jc w:val="both"/>
            </w:pPr>
            <w:r>
              <w:rPr>
                <w:rFonts w:ascii="仿宋_GB2312" w:hAnsi="仿宋_GB2312" w:cs="仿宋_GB2312" w:eastAsia="仿宋_GB2312"/>
                <w:sz w:val="18"/>
              </w:rPr>
              <w:t>8.4  1.5</w:t>
            </w:r>
            <w:r>
              <w:rPr>
                <w:rFonts w:ascii="仿宋_GB2312" w:hAnsi="仿宋_GB2312" w:cs="仿宋_GB2312" w:eastAsia="仿宋_GB2312"/>
                <w:sz w:val="18"/>
              </w:rPr>
              <w:t>mm厚</w:t>
            </w:r>
            <w:r>
              <w:rPr>
                <w:rFonts w:ascii="仿宋_GB2312" w:hAnsi="仿宋_GB2312" w:cs="仿宋_GB2312" w:eastAsia="仿宋_GB2312"/>
                <w:sz w:val="18"/>
              </w:rPr>
              <w:t>深咖色不锈钢折弯装饰框</w:t>
            </w:r>
            <w:r>
              <w:rPr>
                <w:rFonts w:ascii="仿宋_GB2312" w:hAnsi="仿宋_GB2312" w:cs="仿宋_GB2312" w:eastAsia="仿宋_GB2312"/>
                <w:sz w:val="18"/>
              </w:rPr>
              <w:t>,暂定综合单价200元/m2;</w:t>
            </w:r>
          </w:p>
          <w:p>
            <w:pPr>
              <w:pStyle w:val="null3"/>
              <w:ind w:firstLine="560"/>
              <w:jc w:val="both"/>
            </w:pPr>
            <w:r>
              <w:rPr>
                <w:rFonts w:ascii="仿宋_GB2312" w:hAnsi="仿宋_GB2312" w:cs="仿宋_GB2312" w:eastAsia="仿宋_GB2312"/>
                <w:sz w:val="18"/>
              </w:rPr>
              <w:t>8.5   定制5</w:t>
            </w:r>
            <w:r>
              <w:rPr>
                <w:rFonts w:ascii="仿宋_GB2312" w:hAnsi="仿宋_GB2312" w:cs="仿宋_GB2312" w:eastAsia="仿宋_GB2312"/>
                <w:sz w:val="18"/>
              </w:rPr>
              <w:t>mm</w:t>
            </w:r>
            <w:r>
              <w:rPr>
                <w:rFonts w:ascii="仿宋_GB2312" w:hAnsi="仿宋_GB2312" w:cs="仿宋_GB2312" w:eastAsia="仿宋_GB2312"/>
                <w:sz w:val="18"/>
              </w:rPr>
              <w:t>厚香槟金色不锈钢冲孔装饰板</w:t>
            </w:r>
            <w:r>
              <w:rPr>
                <w:rFonts w:ascii="仿宋_GB2312" w:hAnsi="仿宋_GB2312" w:cs="仿宋_GB2312" w:eastAsia="仿宋_GB2312"/>
                <w:sz w:val="18"/>
              </w:rPr>
              <w:t>,暂定综合单价800元/m2;</w:t>
            </w:r>
          </w:p>
          <w:p>
            <w:pPr>
              <w:pStyle w:val="null3"/>
              <w:ind w:firstLine="560"/>
              <w:jc w:val="both"/>
            </w:pPr>
            <w:r>
              <w:rPr>
                <w:rFonts w:ascii="仿宋_GB2312" w:hAnsi="仿宋_GB2312" w:cs="仿宋_GB2312" w:eastAsia="仿宋_GB2312"/>
                <w:sz w:val="18"/>
              </w:rPr>
              <w:t>8.6  亚克力透光板,暂定综合单价400元/m2;</w:t>
            </w:r>
          </w:p>
          <w:p>
            <w:pPr>
              <w:pStyle w:val="null3"/>
              <w:ind w:firstLine="560"/>
              <w:jc w:val="both"/>
            </w:pPr>
            <w:r>
              <w:rPr>
                <w:rFonts w:ascii="仿宋_GB2312" w:hAnsi="仿宋_GB2312" w:cs="仿宋_GB2312" w:eastAsia="仿宋_GB2312"/>
                <w:sz w:val="18"/>
              </w:rPr>
              <w:t>8.7  LOGO标识“城固•博望憩园”,暂定综合单价15000元/项;</w:t>
            </w:r>
          </w:p>
          <w:p>
            <w:pPr>
              <w:pStyle w:val="null3"/>
              <w:ind w:firstLine="560"/>
              <w:jc w:val="both"/>
            </w:pPr>
            <w:r>
              <w:rPr>
                <w:rFonts w:ascii="仿宋_GB2312" w:hAnsi="仿宋_GB2312" w:cs="仿宋_GB2312" w:eastAsia="仿宋_GB2312"/>
                <w:sz w:val="18"/>
              </w:rPr>
              <w:t>8.8  混合花镜,暂定综合单价400元/m2</w:t>
            </w:r>
          </w:p>
          <w:p>
            <w:pPr>
              <w:pStyle w:val="null3"/>
              <w:jc w:val="both"/>
            </w:pPr>
            <w:r>
              <w:rPr>
                <w:rFonts w:ascii="仿宋_GB2312" w:hAnsi="仿宋_GB2312" w:cs="仿宋_GB2312" w:eastAsia="仿宋_GB2312"/>
                <w:sz w:val="18"/>
                <w:b/>
              </w:rPr>
              <w:t>四</w:t>
            </w:r>
            <w:r>
              <w:rPr>
                <w:rFonts w:ascii="仿宋_GB2312" w:hAnsi="仿宋_GB2312" w:cs="仿宋_GB2312" w:eastAsia="仿宋_GB2312"/>
                <w:sz w:val="18"/>
                <w:b/>
              </w:rPr>
              <w:t>、</w:t>
            </w:r>
            <w:r>
              <w:rPr>
                <w:rFonts w:ascii="仿宋_GB2312" w:hAnsi="仿宋_GB2312" w:cs="仿宋_GB2312" w:eastAsia="仿宋_GB2312"/>
                <w:sz w:val="18"/>
                <w:b/>
              </w:rPr>
              <w:t>计价软件广联达计价软件</w:t>
            </w:r>
            <w:r>
              <w:rPr>
                <w:rFonts w:ascii="仿宋_GB2312" w:hAnsi="仿宋_GB2312" w:cs="仿宋_GB2312" w:eastAsia="仿宋_GB2312"/>
                <w:sz w:val="18"/>
                <w:b/>
              </w:rPr>
              <w:t>GCCP</w:t>
            </w:r>
            <w:r>
              <w:rPr>
                <w:rFonts w:ascii="仿宋_GB2312" w:hAnsi="仿宋_GB2312" w:cs="仿宋_GB2312" w:eastAsia="仿宋_GB2312"/>
                <w:sz w:val="18"/>
                <w:b/>
              </w:rPr>
              <w:t>7</w:t>
            </w:r>
            <w:r>
              <w:rPr>
                <w:rFonts w:ascii="仿宋_GB2312" w:hAnsi="仿宋_GB2312" w:cs="仿宋_GB2312" w:eastAsia="仿宋_GB2312"/>
                <w:sz w:val="18"/>
                <w:b/>
              </w:rPr>
              <w:t>.0</w:t>
            </w:r>
          </w:p>
          <w:p>
            <w:pPr>
              <w:pStyle w:val="null3"/>
              <w:jc w:val="both"/>
            </w:pPr>
            <w:r>
              <w:rPr>
                <w:rFonts w:ascii="仿宋_GB2312" w:hAnsi="仿宋_GB2312" w:cs="仿宋_GB2312" w:eastAsia="仿宋_GB2312"/>
                <w:sz w:val="18"/>
                <w:b/>
              </w:rPr>
              <w:t>五、工程量清单：另附</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1、工期：90日历天；2、质保期：1年。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开标结束后三个工作日内需线下提交纸质响应文件正本壹份、副本贰份、电子版壹份（以U盘为载体，电子版内容包括PDF版本响应文件（内容须与电子交易平台上传文件内容保持完全一致）、工程量清单软件版本），纸质响应文件均须A4纸打印、分别各自胶装成册并编制目录和页码；线下递交文件地点：汉中市汉台区东一环与风景路交汇处中饮办公中心C区-8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须具备建设行政主管部门颁发的建筑施工总承包三级以上（含三级）资质或建筑装修装饰工程专业承包二级(及以上)资质，并具备有效的安全生产许可证。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拟派项目负责人须具备建筑工程专业二级及以上注册建造师资格，并具有行业主管部门核发的安全生产考核合格B证，且无在建项目；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对本项目实施方案进行综合评审。（实施方案详细、可行，完全满足项目实施的得7.1-10分；实施方案较详细、较可行，较满足项目实施的得4.1-7分；实施方案基本详细、基本可行，基本满足项目实施的得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对本项目工程质量技术组织措施进行综合评审。(措施科学、合理、可行性高得计7.1-10分；措施较合理、内容完整计4.1-7分；措施不完整、可行性较差计1.0-4分。未提供此项内容不得分)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对本项目工期的技术组织措施进行综合评审。（措施科学、合理、可行性高计7.1-10分；措施较合理、内容完整计4.1-7分；保证措施不完整、可行性较差计1.0-4分；未提供此项内容不得分）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对本项目安全生产的技术组织措施进行综合评审。（措施科学、合理、可行性高计5.1-7分；措施较合理、内容完整计3.1-5分；措施不完整、可行性较差计1.0-3分。未提供此项内容不得分）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确保文明施工技术组织措施</w:t>
            </w:r>
          </w:p>
        </w:tc>
        <w:tc>
          <w:tcPr>
            <w:tcW w:type="dxa" w:w="2492"/>
          </w:tcPr>
          <w:p>
            <w:pPr>
              <w:pStyle w:val="null3"/>
            </w:pPr>
            <w:r>
              <w:rPr>
                <w:rFonts w:ascii="仿宋_GB2312" w:hAnsi="仿宋_GB2312" w:cs="仿宋_GB2312" w:eastAsia="仿宋_GB2312"/>
              </w:rPr>
              <w:t>对本项目文明施工技术组织措施进行综合评审。（措施科学、合理、可行性高计4.1-6分；措施较合理、内容完整计2.1-4分；措施不完整、可行性较差计1.0-2分。未提供此项内容不得分）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施工机械配备及劳动力投入计划</w:t>
            </w:r>
          </w:p>
        </w:tc>
        <w:tc>
          <w:tcPr>
            <w:tcW w:type="dxa" w:w="2492"/>
          </w:tcPr>
          <w:p>
            <w:pPr>
              <w:pStyle w:val="null3"/>
            </w:pPr>
            <w:r>
              <w:rPr>
                <w:rFonts w:ascii="仿宋_GB2312" w:hAnsi="仿宋_GB2312" w:cs="仿宋_GB2312" w:eastAsia="仿宋_GB2312"/>
              </w:rPr>
              <w:t>对本项目施工机械配备及劳动力投入计划进行综合评审。（配置合理、规范，可操作性强计4.1-6分；基本合理，可操作性一般计2.1-4分；简单，可操作性较差计1.0-2分。未提供此项内容不得分）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对本项目售后保修服务措施进行综合评审。（贴合项目实际，满足采购人及项目需求，保修承诺明确计3.1-5分；售后保修服务内容空洞，措施不明确，承诺不明确，不能完全满足采购人及项目需求计1.0-3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-10分；项目团队人员配备较合理，分工较明确，职责较清晰得3.1-7分；项目团队人员配备基本合理，分工基本明确，职责基本清晰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供应商提供2022年至今完成的类似业绩证明，每提供一份得3分，最高得6分； 注：业绩须是供应商完成的类似项目，提供中标通知书或协议书（合同）加盖公章的复印件，否则不作为加分项。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满足磋商文件要求且最后报价最低的供应商的价格为磋商基准价，其价格分为满分。其他投标供应商的价格分统一按照下列公式计算：磋商报价得分=（磋商基准价/最后磋商报价）×价格权值%×100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