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版本号：DSHZ—CG[2025]002号20250926001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2025年沙河营沙井社区农村人居环境整治项目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DSHZ—CG[2025]002号</w:t>
      </w:r>
      <w:r>
        <w:br/>
      </w:r>
      <w:r>
        <w:br/>
      </w:r>
      <w:r>
        <w:br/>
      </w:r>
    </w:p>
    <w:p>
      <w:pPr>
        <w:pStyle w:val="null3"/>
        <w:jc w:val="center"/>
        <w:outlineLvl w:val="2"/>
      </w:pPr>
      <w:r>
        <w:rPr>
          <w:rFonts w:ascii="仿宋_GB2312" w:hAnsi="仿宋_GB2312" w:cs="仿宋_GB2312" w:eastAsia="仿宋_GB2312"/>
          <w:sz w:val="28"/>
          <w:b/>
        </w:rPr>
        <w:t>城固县沙河营镇人民政府</w:t>
      </w:r>
    </w:p>
    <w:p>
      <w:pPr>
        <w:pStyle w:val="null3"/>
        <w:jc w:val="center"/>
        <w:outlineLvl w:val="2"/>
      </w:pPr>
      <w:r>
        <w:rPr>
          <w:rFonts w:ascii="仿宋_GB2312" w:hAnsi="仿宋_GB2312" w:cs="仿宋_GB2312" w:eastAsia="仿宋_GB2312"/>
          <w:sz w:val="28"/>
          <w:b/>
        </w:rPr>
        <w:t>陕西鼎晟华筑项目管理有限公司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陕西鼎晟华筑项目管理有限公司</w:t>
      </w:r>
      <w:r>
        <w:rPr>
          <w:rFonts w:ascii="仿宋_GB2312" w:hAnsi="仿宋_GB2312" w:cs="仿宋_GB2312" w:eastAsia="仿宋_GB2312"/>
        </w:rPr>
        <w:t>（以下简称“代理机构”）受</w:t>
      </w:r>
      <w:r>
        <w:rPr>
          <w:rFonts w:ascii="仿宋_GB2312" w:hAnsi="仿宋_GB2312" w:cs="仿宋_GB2312" w:eastAsia="仿宋_GB2312"/>
        </w:rPr>
        <w:t>城固县沙河营镇人民政府</w:t>
      </w:r>
      <w:r>
        <w:rPr>
          <w:rFonts w:ascii="仿宋_GB2312" w:hAnsi="仿宋_GB2312" w:cs="仿宋_GB2312" w:eastAsia="仿宋_GB2312"/>
        </w:rPr>
        <w:t>委托，拟对</w:t>
      </w:r>
      <w:r>
        <w:rPr>
          <w:rFonts w:ascii="仿宋_GB2312" w:hAnsi="仿宋_GB2312" w:cs="仿宋_GB2312" w:eastAsia="仿宋_GB2312"/>
        </w:rPr>
        <w:t>2025年沙河营沙井社区农村人居环境整治项目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DSHZ—CG[2025]002号</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2025年沙河营沙井社区农村人居环境整治项目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工程位于城固县沙河营镇沙井社区，本次建设项目的实施范围包括村内道路硬化及新建排水设施，具体内容为：硬化村内道路长1.326公里，宽0.5～5米，新建排水设施0.531公里（其中盖板水沟423米、排水管道108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采购包1（2025年沙河营沙井社区农村人居环境整治项目）：属于专门面向中小企业采购。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拟派项目负责人资质和专业要求。：拟派项目经理须具备【公路工程专业】注册建造师二级及以上执业资格和安全生产考核合格B证，在本单位注册且无不良信用、无在建工程，供应商需在项目电子化交易系统中按要求上传相应证明文件并进行电子签章；</w:t>
      </w:r>
    </w:p>
    <w:p>
      <w:pPr>
        <w:pStyle w:val="null3"/>
      </w:pPr>
      <w:r>
        <w:rPr>
          <w:rFonts w:ascii="仿宋_GB2312" w:hAnsi="仿宋_GB2312" w:cs="仿宋_GB2312" w:eastAsia="仿宋_GB2312"/>
        </w:rPr>
        <w:t>2、具有独立承担民事责任能力的企业法人、事业法人、其他组织：供应商为具有独立承担民事责任能力的企业法人、事业法人、其他组织，提供营业执照复印件或电子件（事业单位须提供事业单位法人证、组织机构代码证等证明文件；其他组织应提供合法证明文件），供应商需在项目电子化交易系统中按要求上传相应证明文件并进行电子签章；</w:t>
      </w:r>
    </w:p>
    <w:p>
      <w:pPr>
        <w:pStyle w:val="null3"/>
      </w:pPr>
      <w:r>
        <w:rPr>
          <w:rFonts w:ascii="仿宋_GB2312" w:hAnsi="仿宋_GB2312" w:cs="仿宋_GB2312" w:eastAsia="仿宋_GB2312"/>
        </w:rPr>
        <w:t>3、资质要求：供应商须具备建设行政主管部门核发的【公路工程施工总承包】三级及以上资质等级，并具有安全生产许可证且在有效期内，供应商需在项目电子化交易系统中按要求上传相应证明文件并进行电子签章；</w:t>
      </w:r>
    </w:p>
    <w:p>
      <w:pPr>
        <w:pStyle w:val="null3"/>
      </w:pPr>
      <w:r>
        <w:rPr>
          <w:rFonts w:ascii="仿宋_GB2312" w:hAnsi="仿宋_GB2312" w:cs="仿宋_GB2312" w:eastAsia="仿宋_GB2312"/>
        </w:rPr>
        <w:t>4、法定代表人或授权人身份证明：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p>
      <w:pPr>
        <w:pStyle w:val="null3"/>
      </w:pPr>
      <w:r>
        <w:rPr>
          <w:rFonts w:ascii="仿宋_GB2312" w:hAnsi="仿宋_GB2312" w:cs="仿宋_GB2312" w:eastAsia="仿宋_GB2312"/>
        </w:rPr>
        <w:t>5、资格承诺函：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城固县沙河营镇人民政府</w:t>
      </w:r>
    </w:p>
    <w:p>
      <w:pPr>
        <w:pStyle w:val="null3"/>
      </w:pPr>
      <w:r>
        <w:rPr>
          <w:rFonts w:ascii="仿宋_GB2312" w:hAnsi="仿宋_GB2312" w:cs="仿宋_GB2312" w:eastAsia="仿宋_GB2312"/>
        </w:rPr>
        <w:t xml:space="preserve"> 地址： </w:t>
      </w:r>
      <w:r>
        <w:rPr>
          <w:rFonts w:ascii="仿宋_GB2312" w:hAnsi="仿宋_GB2312" w:cs="仿宋_GB2312" w:eastAsia="仿宋_GB2312"/>
        </w:rPr>
        <w:t>城固县沙河营镇沙井社区</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城固县沙河营镇人民政府经办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0916-7351301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陕西鼎晟华筑项目管理有限公司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陕西省汉中市汉台区陕西省汉中市汉台区汉中路街道天汉大道汉宁荟三楼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0916-2512728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城固县政府采购管理股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韩维</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0916-7203525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采购包1：747,886.77元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开户名称：陕西鼎晟华筑项目管理有限公司</w:t>
            </w:r>
          </w:p>
          <w:p>
            <w:pPr>
              <w:pStyle w:val="null3"/>
            </w:pPr>
            <w:r>
              <w:rPr>
                <w:rFonts w:ascii="仿宋_GB2312" w:hAnsi="仿宋_GB2312" w:cs="仿宋_GB2312" w:eastAsia="仿宋_GB2312"/>
              </w:rPr>
              <w:t>开户银行：长安银行股份有限公司汉中分行营业部</w:t>
            </w:r>
          </w:p>
          <w:p>
            <w:pPr>
              <w:pStyle w:val="null3"/>
            </w:pPr>
            <w:r>
              <w:rPr>
                <w:rFonts w:ascii="仿宋_GB2312" w:hAnsi="仿宋_GB2312" w:cs="仿宋_GB2312" w:eastAsia="仿宋_GB2312"/>
              </w:rPr>
              <w:t>银行账号：806060001421022189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代理服务费收费标准：代理服务费收费标准：依据国家计委[2002]1980号文件《招标代理服务收费管理暂行办法》、造价文件编制费按照陕价发【2014】88号文件规定的收费标准，按差额累积计算法收取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城固县沙河营镇人民政府</w:t>
      </w:r>
      <w:r>
        <w:rPr>
          <w:rFonts w:ascii="仿宋_GB2312" w:hAnsi="仿宋_GB2312" w:cs="仿宋_GB2312" w:eastAsia="仿宋_GB2312"/>
        </w:rPr>
        <w:t>和</w:t>
      </w:r>
      <w:r>
        <w:rPr>
          <w:rFonts w:ascii="仿宋_GB2312" w:hAnsi="仿宋_GB2312" w:cs="仿宋_GB2312" w:eastAsia="仿宋_GB2312"/>
        </w:rPr>
        <w:t>陕西鼎晟华筑项目管理有限公司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城固县沙河营镇人民政府</w:t>
      </w:r>
      <w:r>
        <w:rPr>
          <w:rFonts w:ascii="仿宋_GB2312" w:hAnsi="仿宋_GB2312" w:cs="仿宋_GB2312" w:eastAsia="仿宋_GB2312"/>
        </w:rPr>
        <w:t>负责解释。除上述磋商文件内容，其他内容由</w:t>
      </w:r>
      <w:r>
        <w:rPr>
          <w:rFonts w:ascii="仿宋_GB2312" w:hAnsi="仿宋_GB2312" w:cs="仿宋_GB2312" w:eastAsia="仿宋_GB2312"/>
        </w:rPr>
        <w:t>陕西鼎晟华筑项目管理有限公司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城固县沙河营镇人民政府</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陕西鼎晟华筑项目管理有限公司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质量合格</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陕西鼎晟华筑项目管理有限公司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陕西鼎晟华筑项目管理有限公司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陕西鼎晟华筑项目管理有限公司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 0916-2512728</w:t>
      </w:r>
    </w:p>
    <w:p>
      <w:pPr>
        <w:pStyle w:val="null3"/>
      </w:pPr>
      <w:r>
        <w:rPr>
          <w:rFonts w:ascii="仿宋_GB2312" w:hAnsi="仿宋_GB2312" w:cs="仿宋_GB2312" w:eastAsia="仿宋_GB2312"/>
        </w:rPr>
        <w:t>地址：陕西省汉中市汉台区陕西省汉中市汉台区汉中路街道天汉大道汉宁荟三楼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747,886.77</w:t>
      </w:r>
    </w:p>
    <w:p>
      <w:pPr>
        <w:pStyle w:val="null3"/>
      </w:pPr>
      <w:r>
        <w:rPr>
          <w:rFonts w:ascii="仿宋_GB2312" w:hAnsi="仿宋_GB2312" w:cs="仿宋_GB2312" w:eastAsia="仿宋_GB2312"/>
        </w:rPr>
        <w:t>采购包最高限价（元）: 747,886.77</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沙河营沙井社区农村人居环境整治项目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747,886.77</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标的名称：沙河营沙井社区农村人居环境整治项目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质量合格</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注：①可提供2024年度经审计的财务报告（包含审计报告和审计报告中所涉及的财务报表和报表附注），②可提供2024年度供应商完整的全套财务报表（应当包括资产负债表、利润表、现金流量表、所有者权益变动表、附注），③可提供截至资格预审申请文件提交截止日一年内银行出具的资信证明，④供应商注册时间截至资格预审申请文件提交截止日不足一年的，也可提供在工商管理部门备案的公司章程。不得要求供应商提供证明财务报告中签字签章人或者第三方机构的身份证明、财务报告中数据信息真实性有效性的证明材料。｝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公路工程专业】注册建造师二级及以上执业资格和安全生产考核合格B证，在本单位注册且无不良信用、无在建工程，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项目管理机构组成表 供应商应提交的相关资格证明材料 主要人员简历表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具有独立承担民事责任能力的企业法人、事业法人、其他组织</w:t>
            </w:r>
          </w:p>
        </w:tc>
        <w:tc>
          <w:tcPr>
            <w:tcW w:type="dxa" w:w="3322"/>
          </w:tcPr>
          <w:p>
            <w:pPr>
              <w:pStyle w:val="null3"/>
            </w:pPr>
            <w:r>
              <w:rPr>
                <w:rFonts w:ascii="仿宋_GB2312" w:hAnsi="仿宋_GB2312" w:cs="仿宋_GB2312" w:eastAsia="仿宋_GB2312"/>
              </w:rPr>
              <w:t>供应商为具有独立承担民事责任能力的企业法人、事业法人、其他组织，提供营业执照复印件或电子件（事业单位须提供事业单位法人证、组织机构代码证等证明文件；其他组织应提供合法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供应商须具备建设行政主管部门核发的【公路工程施工总承包】三级及以上资质等级，并具有安全生产许可证且在有效期内，供应商需在项目电子化交易系统中按要求上传相应证明文件并进行电子签章；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法定代表人或授权人身份证明</w:t>
            </w:r>
          </w:p>
        </w:tc>
        <w:tc>
          <w:tcPr>
            <w:tcW w:type="dxa" w:w="3322"/>
          </w:tcPr>
          <w:p>
            <w:pPr>
              <w:pStyle w:val="null3"/>
            </w:pPr>
            <w:r>
              <w:rPr>
                <w:rFonts w:ascii="仿宋_GB2312" w:hAnsi="仿宋_GB2312" w:cs="仿宋_GB2312" w:eastAsia="仿宋_GB2312"/>
              </w:rPr>
              <w:t>法定代表人参加开标会议的，须提供本人身份证原件；法定代表人授权他人参加开标会议的，须提供法定代表人授权委托书并提供被授权代表的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资格承诺函</w:t>
            </w:r>
          </w:p>
        </w:tc>
        <w:tc>
          <w:tcPr>
            <w:tcW w:type="dxa" w:w="3322"/>
          </w:tcPr>
          <w:p>
            <w:pPr>
              <w:pStyle w:val="null3"/>
            </w:pPr>
            <w:r>
              <w:rPr>
                <w:rFonts w:ascii="仿宋_GB2312" w:hAnsi="仿宋_GB2312" w:cs="仿宋_GB2312" w:eastAsia="仿宋_GB2312"/>
              </w:rPr>
              <w:t>供应商须具有良好的商业信誉和健全的财务会计制度、履行合同所必需的设备和专业技术能力、依法缴纳税收和社会保障金的良好记录，以及参加本项目采购活动前三年内无重大违法活动记录，供应商须提供《汉中市政府采购供应商资格承诺函》并加盖公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《汉中市政府采购供应商资格承诺函》格式.docx 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项目管理方案</w:t>
            </w:r>
          </w:p>
        </w:tc>
        <w:tc>
          <w:tcPr>
            <w:tcW w:type="dxa" w:w="2492"/>
          </w:tcPr>
          <w:p>
            <w:pPr>
              <w:pStyle w:val="null3"/>
            </w:pPr>
            <w:r>
              <w:rPr>
                <w:rFonts w:ascii="仿宋_GB2312" w:hAnsi="仿宋_GB2312" w:cs="仿宋_GB2312" w:eastAsia="仿宋_GB2312"/>
              </w:rPr>
              <w:t>磋商小组根据供应商响应文件中针对本项目具有完善的项目管理方案，整个项目的实施施工方案等，进行横向比较赋分。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磋商小组根据供应商响应文件中针对本项目质量保证措施、管理体系的规划及合理性、可操作性进行横向比较赋分。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施工安全措施及保护措施</w:t>
            </w:r>
          </w:p>
        </w:tc>
        <w:tc>
          <w:tcPr>
            <w:tcW w:type="dxa" w:w="2492"/>
          </w:tcPr>
          <w:p>
            <w:pPr>
              <w:pStyle w:val="null3"/>
            </w:pPr>
            <w:r>
              <w:rPr>
                <w:rFonts w:ascii="仿宋_GB2312" w:hAnsi="仿宋_GB2312" w:cs="仿宋_GB2312" w:eastAsia="仿宋_GB2312"/>
              </w:rPr>
              <w:t>磋商小组根据供应商响应文件中针对本项目施工安全措施及保护措施、管理体系的规划及合理性、可操作性进行横向比较赋分。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工期的规划及合理性</w:t>
            </w:r>
          </w:p>
        </w:tc>
        <w:tc>
          <w:tcPr>
            <w:tcW w:type="dxa" w:w="2492"/>
          </w:tcPr>
          <w:p>
            <w:pPr>
              <w:pStyle w:val="null3"/>
            </w:pPr>
            <w:r>
              <w:rPr>
                <w:rFonts w:ascii="仿宋_GB2312" w:hAnsi="仿宋_GB2312" w:cs="仿宋_GB2312" w:eastAsia="仿宋_GB2312"/>
              </w:rPr>
              <w:t>磋商小组根据供应商响应文件中针对本项目工期的规划及合理性、可操作性进行横向比较赋分。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施工机械配备和材料投入计划</w:t>
            </w:r>
          </w:p>
        </w:tc>
        <w:tc>
          <w:tcPr>
            <w:tcW w:type="dxa" w:w="2492"/>
          </w:tcPr>
          <w:p>
            <w:pPr>
              <w:pStyle w:val="null3"/>
            </w:pPr>
            <w:r>
              <w:rPr>
                <w:rFonts w:ascii="仿宋_GB2312" w:hAnsi="仿宋_GB2312" w:cs="仿宋_GB2312" w:eastAsia="仿宋_GB2312"/>
              </w:rPr>
              <w:t>磋商小组根据供应商响应文件中针对本项目施工机械配备和材料投入计划的合理性进行横向比较赋分。1、方案全面、科学合理、规范，可行性强，得7.1-10分；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供应商人员配备齐全，人员配备一般由项目技术负责人、施工员、质量员、安全员、材料员等人员组成公司人员每提供一个得1分，不提供不得分，满分5分。（计0-5分） （提供人员身份证、缴纳社保证明、毕业证、职称等证、资格证书等）</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供应商提供2022年至今完成的类似项目业绩，每提供一份得2.5分，此项最高得5分；（计0-5分） 注：业绩须是供应商完成的类似项目业绩，以成交（中标）通知书或合同或协议书或工程竣工验收证明为准（在磋商文件相应部分提供证明文件复印件并加盖供应商公章）。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质量保修和服务承诺</w:t>
            </w:r>
          </w:p>
        </w:tc>
        <w:tc>
          <w:tcPr>
            <w:tcW w:type="dxa" w:w="2492"/>
          </w:tcPr>
          <w:p>
            <w:pPr>
              <w:pStyle w:val="null3"/>
            </w:pPr>
            <w:r>
              <w:rPr>
                <w:rFonts w:ascii="仿宋_GB2312" w:hAnsi="仿宋_GB2312" w:cs="仿宋_GB2312" w:eastAsia="仿宋_GB2312"/>
              </w:rPr>
              <w:t>磋商小组根据响应文件有针对本项目的切实可行的质量保修和服务承诺，评审小组酌情给1-10分； 1、方案全面、科学合理、规范，可行性强，得7.1-10分； 2、方案合理、规范，具有一定实施性，得4.1-7分； 3、方案简略，可行性欠佳，得1-4分； 4、不提供不得分。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强制优先采购产品承诺函</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价格分采用低价优先法计算，即满足磋商文件要求且最后报价最低的供应商的价格为磋商基准价，其价格分为满分。其他供应商的价格分统一按照下列公式计算： 磋商报价得分=（磋商基准价/磋商报价）×价格权值（即30%）×100 注：1、磋商小组三分之二以上成员认为某报价有低于成本价嫌疑的，涉嫌不正当竞争的，为无效报价。 2、本项目为专门面向中小企业,不再执行价格评审优惠的扶持政策。</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本项目授权磋商小组直接确认成交供应商，确认后代理机构在陕西省政府采购网上发布成交结果公告，同时向成交供应商发出成交通知书。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详见附件：《汉中市政府采购供应商资格承诺函》格式.docx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