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版本号：ZTDJ-CG-01420251001001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湑水河国家级生态保护区鱼类资源监测、生态补偿评价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ZTDJ-CG-014</w:t>
      </w:r>
      <w:r>
        <w:br/>
      </w:r>
      <w:r>
        <w:br/>
      </w:r>
      <w:r>
        <w:br/>
      </w:r>
    </w:p>
    <w:p>
      <w:pPr>
        <w:pStyle w:val="null3"/>
        <w:jc w:val="center"/>
        <w:outlineLvl w:val="2"/>
      </w:pPr>
      <w:r>
        <w:rPr>
          <w:rFonts w:ascii="仿宋_GB2312" w:hAnsi="仿宋_GB2312" w:cs="仿宋_GB2312" w:eastAsia="仿宋_GB2312"/>
          <w:sz w:val="28"/>
          <w:b/>
        </w:rPr>
        <w:t>城固县水产发展中心</w:t>
      </w:r>
    </w:p>
    <w:p>
      <w:pPr>
        <w:pStyle w:val="null3"/>
        <w:jc w:val="center"/>
        <w:outlineLvl w:val="2"/>
      </w:pPr>
      <w:r>
        <w:rPr>
          <w:rFonts w:ascii="仿宋_GB2312" w:hAnsi="仿宋_GB2312" w:cs="仿宋_GB2312" w:eastAsia="仿宋_GB2312"/>
          <w:sz w:val="28"/>
          <w:b/>
        </w:rPr>
        <w:t>中拓达建项目管理有限公司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中拓达建项目管理有限公司</w:t>
      </w:r>
      <w:r>
        <w:rPr>
          <w:rFonts w:ascii="仿宋_GB2312" w:hAnsi="仿宋_GB2312" w:cs="仿宋_GB2312" w:eastAsia="仿宋_GB2312"/>
        </w:rPr>
        <w:t>（以下简称“代理机构”）受</w:t>
      </w:r>
      <w:r>
        <w:rPr>
          <w:rFonts w:ascii="仿宋_GB2312" w:hAnsi="仿宋_GB2312" w:cs="仿宋_GB2312" w:eastAsia="仿宋_GB2312"/>
        </w:rPr>
        <w:t>城固县水产发展中心</w:t>
      </w:r>
      <w:r>
        <w:rPr>
          <w:rFonts w:ascii="仿宋_GB2312" w:hAnsi="仿宋_GB2312" w:cs="仿宋_GB2312" w:eastAsia="仿宋_GB2312"/>
        </w:rPr>
        <w:t>委托，拟对</w:t>
      </w:r>
      <w:r>
        <w:rPr>
          <w:rFonts w:ascii="仿宋_GB2312" w:hAnsi="仿宋_GB2312" w:cs="仿宋_GB2312" w:eastAsia="仿宋_GB2312"/>
        </w:rPr>
        <w:t>湑水河国家级生态保护区鱼类资源监测、生态补偿评价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ZTDJ-CG-014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湑水河国家级生态保护区鱼类资源监测、生态补偿评价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评估甘肃-淅江±800KV特高压直流输电线路工程跨越湑水河国家级水产种质资源保护区建设对湑水河保护区鱼类资源及生态环境的影响，验证生态补偿措施有效性，为降低工程影响提供科学依据。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1、投标人须为中华人民共和国境内注册的法人、其他组织或自然人，具备独立承担民事责任的能力： 有效的营业执照（或事业单位法人证书、社会团体法人登记证书等主体资格证明文件）副本复印件。投标人的法定代表人身份证明原件及身份证复印件，如法定代表人授权他人投标，须提供法定代表人授权委托书原件及被授权人身份证复印件</w:t>
      </w:r>
    </w:p>
    <w:p>
      <w:pPr>
        <w:pStyle w:val="null3"/>
      </w:pPr>
      <w:r>
        <w:rPr>
          <w:rFonts w:ascii="仿宋_GB2312" w:hAnsi="仿宋_GB2312" w:cs="仿宋_GB2312" w:eastAsia="仿宋_GB2312"/>
        </w:rPr>
        <w:t>2、供应商应具有良好的商业信誉和健全的财务会计制度：可提供以下任一证明材料： 2022、2023、2024年度中任意一年度经审计的财务报告复印件或基本开户银行在投标截止日前三个月内出具的资信证明复印件或就其良好的商业信誉和健全的财务会计制度提供书面承诺函（格式自拟）</w:t>
      </w:r>
    </w:p>
    <w:p>
      <w:pPr>
        <w:pStyle w:val="null3"/>
      </w:pPr>
      <w:r>
        <w:rPr>
          <w:rFonts w:ascii="仿宋_GB2312" w:hAnsi="仿宋_GB2312" w:cs="仿宋_GB2312" w:eastAsia="仿宋_GB2312"/>
        </w:rPr>
        <w:t>3、供应商须具备履行合同所必需的设备和专业技术能力：《汉中市政府采购供应商资格承诺函》</w:t>
      </w:r>
    </w:p>
    <w:p>
      <w:pPr>
        <w:pStyle w:val="null3"/>
      </w:pPr>
      <w:r>
        <w:rPr>
          <w:rFonts w:ascii="仿宋_GB2312" w:hAnsi="仿宋_GB2312" w:cs="仿宋_GB2312" w:eastAsia="仿宋_GB2312"/>
        </w:rPr>
        <w:t>4、供应商须有依法缴纳税收和社会保障资金的良好记录：提供投标截止日前半年内任意一个月的缴纳税收和社会保障资金的缴款凭证或相关证明复印件。如依法免税或免缴社保，应提供相应证明文件</w:t>
      </w:r>
    </w:p>
    <w:p>
      <w:pPr>
        <w:pStyle w:val="null3"/>
      </w:pPr>
      <w:r>
        <w:rPr>
          <w:rFonts w:ascii="仿宋_GB2312" w:hAnsi="仿宋_GB2312" w:cs="仿宋_GB2312" w:eastAsia="仿宋_GB2312"/>
        </w:rPr>
        <w:t>5、供应商参加本次采购活动前三年内（自投标截止日起向前推算）在经营活动中没有重大违法记录的书面声明：供应商参加本次采购活动前三年内（自投标截止日起向前推算）在经营活动中没有重大违法记录的书面声明</w:t>
      </w:r>
    </w:p>
    <w:p>
      <w:pPr>
        <w:pStyle w:val="null3"/>
      </w:pPr>
      <w:r>
        <w:rPr>
          <w:rFonts w:ascii="仿宋_GB2312" w:hAnsi="仿宋_GB2312" w:cs="仿宋_GB2312" w:eastAsia="仿宋_GB2312"/>
        </w:rPr>
        <w:t>6、投标人未被列入失信被执行人、重大税收违法失信主体、政府采购严重违法失信行为记录名单等。供应商应在投标截止时间前，通过“信用中国”网站（http://www.creditchina.gov.cn）及中国政府采购网（http://www.ccgp.gov.cn）查询其信用记录：查询结果截图打印件</w:t>
      </w:r>
    </w:p>
    <w:p>
      <w:pPr>
        <w:pStyle w:val="null3"/>
      </w:pPr>
      <w:r>
        <w:rPr>
          <w:rFonts w:ascii="仿宋_GB2312" w:hAnsi="仿宋_GB2312" w:cs="仿宋_GB2312" w:eastAsia="仿宋_GB2312"/>
        </w:rPr>
        <w:t>7、本次采购不接受联合体投标：本次采购不接受联合体投标</w:t>
      </w:r>
    </w:p>
    <w:p>
      <w:pPr>
        <w:pStyle w:val="null3"/>
      </w:pPr>
      <w:r>
        <w:rPr>
          <w:rFonts w:ascii="仿宋_GB2312" w:hAnsi="仿宋_GB2312" w:cs="仿宋_GB2312" w:eastAsia="仿宋_GB2312"/>
        </w:rPr>
        <w:t>8、单位负责人为同一人或者存在直接控股、管理关系的不同供应商，不得同时参加同一合同项下的政府采购活动，国家法律法规另有规定的除外：单位负责人为同一人或者存在直接控股、管理关系的不同供应商，不得同时参加同一合同项下的政府采购活动，国家法律法规另有规定的除外</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城固县水产发展中心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城固县水产发展中心经办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13992685929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中拓达建项目管理有限公司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陕西省汉中市城固县博望街道西寨村口袋公园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13319166003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代理服务费收费标准：按照《招标代理服务收费管理暂行办法》（国家发改委计价格[2002]1980号）文件计取，投标人自行包含在投标报价中</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城固县水产发展中心</w:t>
      </w:r>
      <w:r>
        <w:rPr>
          <w:rFonts w:ascii="仿宋_GB2312" w:hAnsi="仿宋_GB2312" w:cs="仿宋_GB2312" w:eastAsia="仿宋_GB2312"/>
        </w:rPr>
        <w:t>和</w:t>
      </w:r>
      <w:r>
        <w:rPr>
          <w:rFonts w:ascii="仿宋_GB2312" w:hAnsi="仿宋_GB2312" w:cs="仿宋_GB2312" w:eastAsia="仿宋_GB2312"/>
        </w:rPr>
        <w:t>中拓达建项目管理有限公司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城固县水产发展中心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中拓达建项目管理有限公司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城固县水产发展中心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中拓达建项目管理有限公司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符合《甘肃-浙江±800kv特高压直流输电工程对嘉陵江源特有鱼类、褒河特有鱼类与湑水河等3个国家级水产种质资源保护区影响专题论证报告》审查意见内容提供报告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联系人：张莎</w:t>
      </w:r>
    </w:p>
    <w:p>
      <w:pPr>
        <w:pStyle w:val="null3"/>
      </w:pPr>
      <w:r>
        <w:rPr>
          <w:rFonts w:ascii="仿宋_GB2312" w:hAnsi="仿宋_GB2312" w:cs="仿宋_GB2312" w:eastAsia="仿宋_GB2312"/>
        </w:rPr>
        <w:t>联系电话：13319166003</w:t>
      </w:r>
    </w:p>
    <w:p>
      <w:pPr>
        <w:pStyle w:val="null3"/>
      </w:pPr>
      <w:r>
        <w:rPr>
          <w:rFonts w:ascii="仿宋_GB2312" w:hAnsi="仿宋_GB2312" w:cs="仿宋_GB2312" w:eastAsia="仿宋_GB2312"/>
        </w:rPr>
        <w:t>地址：陕西省汉中市城固县博望街道西寨村口袋公园</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评估甘肃-淅江±800KV特高压直流输电线路工程跨越湑水河国家级水产种质资源保护区建设对湑水河保护区鱼类资源及生态环境的影响，验证生态补偿措施有效性，为降低工程影响提供科学依据。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湑水河国家级生态保护区鱼类资源监测、生态补偿评价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标的名称：湑水河国家级生态保护区鱼类资源监测、生态补偿评价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依据《甘肃-浙江±800kv特高压直流输电工程对嘉陵江源特有鱼类、褒河特有鱼类与湑水河等3个国家级水产种质资源保护区影响专题论证报告》审查意见编制</w:t>
            </w:r>
            <w:r>
              <w:rPr>
                <w:rFonts w:ascii="仿宋_GB2312" w:hAnsi="仿宋_GB2312" w:cs="仿宋_GB2312" w:eastAsia="仿宋_GB2312"/>
                <w:sz w:val="21"/>
              </w:rPr>
              <w:t>1.鱼类资源监测：调查鱼类种类组成 、数量分布情况；浮游生物和底栖动物定性、定量调查，提交年度监测报告和全部监测任务实施完成后汇总监测报告。2.生态补偿效果评价：开展人工增殖放流及其他生态补偿措施后的效果评价。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2026年1月1日至2028年12月31日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陕西省汉中市城固县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甘肃-浙江±800kv特高压直流输电工程对嘉陵江源特有鱼类、褒河特有鱼类与湑水河等3个国家级水产种质资源保护区影响专题论证报告》审查意见编制鱼类资源监测调查报告，现场调查资料（包括现场开展调查监测照片、监测原始数据记录等）留存，提交年度及全部监测任务实施完成后汇总监测报告。生态补偿效果评价报告，过程管理（现场调查监测照片、监测原始数据记录等），提交经专家评审通过的生态补偿效果评价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合同履行两年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争议解决方法：协商、调解、质疑与投诉、仲裁或诉讼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成交供应商合同签定前3日内提供磋商响应文件纸质版两份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投标人须为中华人民共和国境内注册的法人、其他组织或自然人，具备独立承担民事责任的能力</w:t>
            </w:r>
          </w:p>
        </w:tc>
        <w:tc>
          <w:tcPr>
            <w:tcW w:type="dxa" w:w="3322"/>
          </w:tcPr>
          <w:p>
            <w:pPr>
              <w:pStyle w:val="null3"/>
            </w:pPr>
            <w:r>
              <w:rPr>
                <w:rFonts w:ascii="仿宋_GB2312" w:hAnsi="仿宋_GB2312" w:cs="仿宋_GB2312" w:eastAsia="仿宋_GB2312"/>
              </w:rPr>
              <w:t xml:space="preserve"> 有效的营业执照（或事业单位法人证书、社会团体法人登记证书等主体资格证明文件）副本复印件。投标人的法定代表人身份证明原件及身份证复印件，如法定代表人授权他人投标，须提供法定代表人授权委托书原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w:t>
            </w:r>
          </w:p>
        </w:tc>
        <w:tc>
          <w:tcPr>
            <w:tcW w:type="dxa" w:w="3322"/>
          </w:tcPr>
          <w:p>
            <w:pPr>
              <w:pStyle w:val="null3"/>
            </w:pPr>
            <w:r>
              <w:rPr>
                <w:rFonts w:ascii="仿宋_GB2312" w:hAnsi="仿宋_GB2312" w:cs="仿宋_GB2312" w:eastAsia="仿宋_GB2312"/>
              </w:rPr>
              <w:t>可提供以下任一证明材料： 2022、2023、2024年度中任意一年度经审计的财务报告复印件或基本开户银行在投标截止日前三个月内出具的资信证明复印件或就其良好的商业信誉和健全的财务会计制度提供书面承诺函（格式自拟）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供应商须具备履行合同所必需的设备和专业技术能力</w:t>
            </w:r>
          </w:p>
        </w:tc>
        <w:tc>
          <w:tcPr>
            <w:tcW w:type="dxa" w:w="3322"/>
          </w:tcPr>
          <w:p>
            <w:pPr>
              <w:pStyle w:val="null3"/>
            </w:pPr>
            <w:r>
              <w:rPr>
                <w:rFonts w:ascii="仿宋_GB2312" w:hAnsi="仿宋_GB2312" w:cs="仿宋_GB2312" w:eastAsia="仿宋_GB2312"/>
              </w:rPr>
              <w:t>《汉中市政府采购供应商资格承诺函》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供应商须有依法缴纳税收和社会保障资金的良好记录</w:t>
            </w:r>
          </w:p>
        </w:tc>
        <w:tc>
          <w:tcPr>
            <w:tcW w:type="dxa" w:w="3322"/>
          </w:tcPr>
          <w:p>
            <w:pPr>
              <w:pStyle w:val="null3"/>
            </w:pPr>
            <w:r>
              <w:rPr>
                <w:rFonts w:ascii="仿宋_GB2312" w:hAnsi="仿宋_GB2312" w:cs="仿宋_GB2312" w:eastAsia="仿宋_GB2312"/>
              </w:rPr>
              <w:t>提供投标截止日前半年内任意一个月的缴纳税收和社会保障资金的缴款凭证或相关证明复印件。如依法免税或免缴社保，应提供相应证明文件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供应商参加本次采购活动前三年内（自投标截止日起向前推算）在经营活动中没有重大违法记录的书面声明</w:t>
            </w:r>
          </w:p>
        </w:tc>
        <w:tc>
          <w:tcPr>
            <w:tcW w:type="dxa" w:w="3322"/>
          </w:tcPr>
          <w:p>
            <w:pPr>
              <w:pStyle w:val="null3"/>
            </w:pPr>
            <w:r>
              <w:rPr>
                <w:rFonts w:ascii="仿宋_GB2312" w:hAnsi="仿宋_GB2312" w:cs="仿宋_GB2312" w:eastAsia="仿宋_GB2312"/>
              </w:rPr>
              <w:t>供应商参加本次采购活动前三年内（自投标截止日起向前推算）在经营活动中没有重大违法记录的书面声明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未被列入失信被执行人、重大税收违法失信主体、政府采购严重违法失信行为记录名单等。供应商应在投标截止时间前，通过“信用中国”网站（http://www.creditchina.gov.cn）及中国政府采购网（http://www.ccgp.gov.cn）查询其信用记录</w:t>
            </w:r>
          </w:p>
        </w:tc>
        <w:tc>
          <w:tcPr>
            <w:tcW w:type="dxa" w:w="3322"/>
          </w:tcPr>
          <w:p>
            <w:pPr>
              <w:pStyle w:val="null3"/>
            </w:pPr>
            <w:r>
              <w:rPr>
                <w:rFonts w:ascii="仿宋_GB2312" w:hAnsi="仿宋_GB2312" w:cs="仿宋_GB2312" w:eastAsia="仿宋_GB2312"/>
              </w:rPr>
              <w:t>查询结果截图打印件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本次采购不接受联合体投标</w:t>
            </w:r>
          </w:p>
        </w:tc>
        <w:tc>
          <w:tcPr>
            <w:tcW w:type="dxa" w:w="3322"/>
          </w:tcPr>
          <w:p>
            <w:pPr>
              <w:pStyle w:val="null3"/>
            </w:pPr>
            <w:r>
              <w:rPr>
                <w:rFonts w:ascii="仿宋_GB2312" w:hAnsi="仿宋_GB2312" w:cs="仿宋_GB2312" w:eastAsia="仿宋_GB2312"/>
              </w:rPr>
              <w:t>本次采购不接受联合体投标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单位负责人为同一人或者存在直接控股、管理关系的不同供应商，不得同时参加同一合同项下的政府采购活动，国家法律法规另有规定的除外</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单位负责人为同一人或者存在直接控股、管理关系的不同供应商，不得同时参加同一合同项下的政府采购活动，国家法律法规另有规定的除外</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对项目的重点 难点认识</w:t>
            </w:r>
          </w:p>
        </w:tc>
        <w:tc>
          <w:tcPr>
            <w:tcW w:type="dxa" w:w="2492"/>
          </w:tcPr>
          <w:p>
            <w:pPr>
              <w:pStyle w:val="null3"/>
            </w:pPr>
            <w:r>
              <w:rPr>
                <w:rFonts w:ascii="仿宋_GB2312" w:hAnsi="仿宋_GB2312" w:cs="仿宋_GB2312" w:eastAsia="仿宋_GB2312"/>
              </w:rPr>
              <w:t>对本项工作重点难点理解全面、深刻得5-10分（不含5分）；对本项工作重点难点基本理解全面、深刻得0-5分（含5分）；缺项得0分。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工作方案结构框架及内容</w:t>
            </w:r>
          </w:p>
        </w:tc>
        <w:tc>
          <w:tcPr>
            <w:tcW w:type="dxa" w:w="2492"/>
          </w:tcPr>
          <w:p>
            <w:pPr>
              <w:pStyle w:val="null3"/>
            </w:pPr>
            <w:r>
              <w:rPr>
                <w:rFonts w:ascii="仿宋_GB2312" w:hAnsi="仿宋_GB2312" w:cs="仿宋_GB2312" w:eastAsia="仿宋_GB2312"/>
              </w:rPr>
              <w:t>工作方案框架清晰合理、内容全面、结构完整得10-15分（不含10分）；工作方案框架基本清晰合理、内容基本全面、结构基本完整得5-10分（含10分）；工作方案框架不清晰合理、内容不全面、结构不完整得0-5分（含5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进度计划满足要求，节点清晰，控制措施合理得3-6分（不含3分）；进度计划基本满足要求，节点基本清晰，控制措施基本合理得0-3分（含3分）；缺项得0分。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对本项目的建议 及意见</w:t>
            </w:r>
          </w:p>
        </w:tc>
        <w:tc>
          <w:tcPr>
            <w:tcW w:type="dxa" w:w="2492"/>
          </w:tcPr>
          <w:p>
            <w:pPr>
              <w:pStyle w:val="null3"/>
            </w:pPr>
            <w:r>
              <w:rPr>
                <w:rFonts w:ascii="仿宋_GB2312" w:hAnsi="仿宋_GB2312" w:cs="仿宋_GB2312" w:eastAsia="仿宋_GB2312"/>
              </w:rPr>
              <w:t>所提出的建议及意见合理、针对性强、利于本项目目标实现得3-6分（不含3分）；所提出的建议及意见基本合理、针对性不强、不利于本项目目标实现得0-3分（含3分），缺项得0分。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项目组织机构健全，人员专业配备齐全合理，职责明确得3-6分（不含3分）；项目组织机构基本健全，人员专业配备基本合理，职责不明确得0-3分（含3分）；缺项得0分。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项目负责人具有类似（生物资源调查或评估检测）项目业绩有1项不得分，每增加1项得2分,最高得6分（提供合同复印件）。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根据工作需要，配备的项目团队其他人员具有水利项目专业高级职称每1人得2分，具有工程师职称，每1人得1分，最高6分（提供证书复印件）；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有1项类似（水资源调查或评估监测）业绩不得分，每增加1个类似业绩绩加3分，最多得15分（提供合同复印件）。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评标基准价=投标人有效报价的算术平均值作为评标基准价；投标报价等于评标基准价时得满分，每高1%扣1分，每低1%扣0.5分，扣完为止。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详见附件：评价报告合同.docx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