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版本号：SXHC2026CG010320260119001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城固县永久基本农田潜力摸底调查及储备库划定技术服务项目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SXHC2026CG0103</w:t>
      </w:r>
      <w:r>
        <w:br/>
      </w:r>
      <w:r>
        <w:br/>
      </w:r>
      <w:r>
        <w:br/>
      </w:r>
    </w:p>
    <w:p>
      <w:pPr>
        <w:pStyle w:val="null3"/>
        <w:jc w:val="center"/>
        <w:outlineLvl w:val="2"/>
      </w:pPr>
      <w:r>
        <w:rPr>
          <w:rFonts w:ascii="仿宋_GB2312" w:hAnsi="仿宋_GB2312" w:cs="仿宋_GB2312" w:eastAsia="仿宋_GB2312"/>
          <w:sz w:val="28"/>
          <w:b/>
        </w:rPr>
        <w:t>城固县自然资源局</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城固县自然资源局</w:t>
      </w:r>
      <w:r>
        <w:rPr>
          <w:rFonts w:ascii="仿宋_GB2312" w:hAnsi="仿宋_GB2312" w:cs="仿宋_GB2312" w:eastAsia="仿宋_GB2312"/>
        </w:rPr>
        <w:t>委托，拟对</w:t>
      </w:r>
      <w:r>
        <w:rPr>
          <w:rFonts w:ascii="仿宋_GB2312" w:hAnsi="仿宋_GB2312" w:cs="仿宋_GB2312" w:eastAsia="仿宋_GB2312"/>
        </w:rPr>
        <w:t>城固县永久基本农田潜力摸底调查及储备库划定技术服务项目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SXHC2026CG0103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城固县永久基本农田潜力摸底调查及储备库划定技术服务项目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完成城固县永久基本农田潜力摸底调查并划定城固县基本农田储备库，建立电子数据库。</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采购包1（永久基本农田潜力摸底调查及储备库划定技术服务）：属于专门面向中小企业采购。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2、授权书：法定代表人授权书（附法定代表人身份证明复印件）及被授权人身份证明（法定代表人直接参加只须提供法定代表人身份证明）</w:t>
      </w:r>
    </w:p>
    <w:p>
      <w:pPr>
        <w:pStyle w:val="null3"/>
      </w:pPr>
      <w:r>
        <w:rPr>
          <w:rFonts w:ascii="仿宋_GB2312" w:hAnsi="仿宋_GB2312" w:cs="仿宋_GB2312" w:eastAsia="仿宋_GB2312"/>
        </w:rPr>
        <w:t>3、承诺函：供应商须提供《汉中市政府采购供应商资格承诺函》。</w:t>
      </w:r>
    </w:p>
    <w:p>
      <w:pPr>
        <w:pStyle w:val="null3"/>
      </w:pPr>
      <w:r>
        <w:rPr>
          <w:rFonts w:ascii="仿宋_GB2312" w:hAnsi="仿宋_GB2312" w:cs="仿宋_GB2312" w:eastAsia="仿宋_GB2312"/>
        </w:rPr>
        <w:t>4、投标人资质：供应商须具备土地规划乙级及以上资质和测绘乙级及以上资质；拟派项目负责人应具备相关专业中级及以上（含中级）工程师职称。</w:t>
      </w:r>
    </w:p>
    <w:p>
      <w:pPr>
        <w:pStyle w:val="null3"/>
      </w:pPr>
      <w:r>
        <w:rPr>
          <w:rFonts w:ascii="仿宋_GB2312" w:hAnsi="仿宋_GB2312" w:cs="仿宋_GB2312" w:eastAsia="仿宋_GB2312"/>
        </w:rPr>
        <w:t>5、本项目不接受联合体投标：本项目不接受联合体投标。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王少勇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7233433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开户银行：中国工商银行汉中分行中山街支行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城固县自然资源局</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地址：陕西省汉中市天汉大道钟楼十字</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完成城固县永久基本农田潜力摸底调查并划定城固县基本农田储备库，建立电子数据库。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专业技术服务</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一、技术标准要求：</w:t>
            </w:r>
          </w:p>
          <w:p>
            <w:pPr>
              <w:pStyle w:val="null3"/>
            </w:pPr>
            <w:r>
              <w:rPr>
                <w:rFonts w:ascii="仿宋_GB2312" w:hAnsi="仿宋_GB2312" w:cs="仿宋_GB2312" w:eastAsia="仿宋_GB2312"/>
                <w:sz w:val="24"/>
              </w:rPr>
              <w:t>1.《永久基本农田保护红线管理办法》(征求意见稿)；</w:t>
            </w:r>
          </w:p>
          <w:p>
            <w:pPr>
              <w:pStyle w:val="null3"/>
            </w:pPr>
            <w:r>
              <w:rPr>
                <w:rFonts w:ascii="仿宋_GB2312" w:hAnsi="仿宋_GB2312" w:cs="仿宋_GB2312" w:eastAsia="仿宋_GB2312"/>
                <w:sz w:val="24"/>
              </w:rPr>
              <w:t>2.《自然资源部办公厅关于严肃开展耕地和永久基本农田划定成果核实处置工作的通知》(自然资办发〔2023】25号)；</w:t>
            </w:r>
          </w:p>
          <w:p>
            <w:pPr>
              <w:pStyle w:val="null3"/>
            </w:pPr>
            <w:r>
              <w:rPr>
                <w:rFonts w:ascii="仿宋_GB2312" w:hAnsi="仿宋_GB2312" w:cs="仿宋_GB2312" w:eastAsia="仿宋_GB2312"/>
                <w:sz w:val="24"/>
              </w:rPr>
              <w:t>3.《自然资源部关于在全国开展“三区三线”划定工作的函》(自然资办函〔2022】47号)；</w:t>
            </w:r>
            <w:r>
              <w:br/>
            </w:r>
            <w:r>
              <w:rPr>
                <w:rFonts w:ascii="仿宋_GB2312" w:hAnsi="仿宋_GB2312" w:cs="仿宋_GB2312" w:eastAsia="仿宋_GB2312"/>
                <w:sz w:val="24"/>
              </w:rPr>
              <w:t xml:space="preserve"> 4.《自然资源部办公厅关于印发“三区三线”划定成果数据汇交要求的函》(自然资办函〔2022】1541号);</w:t>
            </w:r>
            <w:r>
              <w:br/>
            </w:r>
            <w:r>
              <w:rPr>
                <w:rFonts w:ascii="仿宋_GB2312" w:hAnsi="仿宋_GB2312" w:cs="仿宋_GB2312" w:eastAsia="仿宋_GB2312"/>
                <w:sz w:val="24"/>
              </w:rPr>
              <w:t xml:space="preserve"> 5.《国土调查数据库标准》(TD/T 1057-2020)；</w:t>
            </w:r>
            <w:r>
              <w:br/>
            </w:r>
            <w:r>
              <w:rPr>
                <w:rFonts w:ascii="仿宋_GB2312" w:hAnsi="仿宋_GB2312" w:cs="仿宋_GB2312" w:eastAsia="仿宋_GB2312"/>
                <w:sz w:val="24"/>
              </w:rPr>
              <w:t xml:space="preserve"> 6.《耕地质量等级》(GB/T 33469-2016);</w:t>
            </w:r>
            <w:r>
              <w:br/>
            </w:r>
            <w:r>
              <w:rPr>
                <w:rFonts w:ascii="仿宋_GB2312" w:hAnsi="仿宋_GB2312" w:cs="仿宋_GB2312" w:eastAsia="仿宋_GB2312"/>
                <w:sz w:val="24"/>
              </w:rPr>
              <w:t xml:space="preserve"> 7.《国土变更调查技术规程》:</w:t>
            </w:r>
            <w:r>
              <w:br/>
            </w:r>
            <w:r>
              <w:rPr>
                <w:rFonts w:ascii="仿宋_GB2312" w:hAnsi="仿宋_GB2312" w:cs="仿宋_GB2312" w:eastAsia="仿宋_GB2312"/>
                <w:sz w:val="24"/>
              </w:rPr>
              <w:t xml:space="preserve"> 8.其他相关行业标准和文件。</w:t>
            </w:r>
          </w:p>
          <w:p>
            <w:pPr>
              <w:pStyle w:val="null3"/>
            </w:pPr>
            <w:r>
              <w:rPr>
                <w:rFonts w:ascii="仿宋_GB2312" w:hAnsi="仿宋_GB2312" w:cs="仿宋_GB2312" w:eastAsia="仿宋_GB2312"/>
                <w:sz w:val="24"/>
              </w:rPr>
              <w:t>二、主要工作内容：</w:t>
            </w:r>
          </w:p>
          <w:p>
            <w:pPr>
              <w:pStyle w:val="null3"/>
            </w:pPr>
            <w:r>
              <w:rPr>
                <w:rFonts w:ascii="仿宋_GB2312" w:hAnsi="仿宋_GB2312" w:cs="仿宋_GB2312" w:eastAsia="仿宋_GB2312"/>
                <w:sz w:val="24"/>
              </w:rPr>
              <w:t>1、处置后永农与提供年度的变更数据套合分析出永农耕地、永农非耕地数据。</w:t>
            </w:r>
          </w:p>
          <w:p>
            <w:pPr>
              <w:pStyle w:val="null3"/>
            </w:pPr>
            <w:r>
              <w:rPr>
                <w:rFonts w:ascii="仿宋_GB2312" w:hAnsi="仿宋_GB2312" w:cs="仿宋_GB2312" w:eastAsia="仿宋_GB2312"/>
                <w:sz w:val="24"/>
              </w:rPr>
              <w:t>2、通过采购人提供年度变更调査成果中非耕农用地分析筛选补划潜力图斑并制作外业KMZ、调查表。</w:t>
            </w:r>
          </w:p>
          <w:p>
            <w:pPr>
              <w:pStyle w:val="null3"/>
            </w:pPr>
            <w:r>
              <w:rPr>
                <w:rFonts w:ascii="仿宋_GB2312" w:hAnsi="仿宋_GB2312" w:cs="仿宋_GB2312" w:eastAsia="仿宋_GB2312"/>
                <w:sz w:val="24"/>
              </w:rPr>
              <w:t>3、永农内耕地图斑套合影像筛选疑似非耕地图斑，制作外业KMZ、外业调查表。</w:t>
            </w:r>
            <w:r>
              <w:br/>
            </w:r>
            <w:r>
              <w:rPr>
                <w:rFonts w:ascii="仿宋_GB2312" w:hAnsi="仿宋_GB2312" w:cs="仿宋_GB2312" w:eastAsia="仿宋_GB2312"/>
                <w:sz w:val="24"/>
              </w:rPr>
              <w:t xml:space="preserve"> 4、制作永农非耕地图斑外业KMZ,外业调査表。</w:t>
            </w:r>
            <w:r>
              <w:br/>
            </w:r>
            <w:r>
              <w:rPr>
                <w:rFonts w:ascii="仿宋_GB2312" w:hAnsi="仿宋_GB2312" w:cs="仿宋_GB2312" w:eastAsia="仿宋_GB2312"/>
                <w:sz w:val="24"/>
              </w:rPr>
              <w:t xml:space="preserve"> 5、叠加分析永农外一般耕地补划潜力图斑。</w:t>
            </w:r>
            <w:r>
              <w:br/>
            </w:r>
            <w:r>
              <w:rPr>
                <w:rFonts w:ascii="仿宋_GB2312" w:hAnsi="仿宋_GB2312" w:cs="仿宋_GB2312" w:eastAsia="仿宋_GB2312"/>
                <w:sz w:val="24"/>
              </w:rPr>
              <w:t xml:space="preserve"> 6、编写外业调查填写要求方案。</w:t>
            </w:r>
            <w:r>
              <w:br/>
            </w:r>
            <w:r>
              <w:rPr>
                <w:rFonts w:ascii="仿宋_GB2312" w:hAnsi="仿宋_GB2312" w:cs="仿宋_GB2312" w:eastAsia="仿宋_GB2312"/>
                <w:sz w:val="24"/>
              </w:rPr>
              <w:t xml:space="preserve"> 7、永久基本农田储备库建立方案。</w:t>
            </w:r>
          </w:p>
          <w:p>
            <w:pPr>
              <w:pStyle w:val="null3"/>
            </w:pPr>
            <w:r>
              <w:rPr>
                <w:rFonts w:ascii="仿宋_GB2312" w:hAnsi="仿宋_GB2312" w:cs="仿宋_GB2312" w:eastAsia="仿宋_GB2312"/>
                <w:sz w:val="24"/>
              </w:rPr>
              <w:t>8、永久基本农田储备库数据库。</w:t>
            </w:r>
          </w:p>
          <w:p>
            <w:pPr>
              <w:pStyle w:val="null3"/>
            </w:pPr>
            <w:r>
              <w:rPr>
                <w:rFonts w:ascii="仿宋_GB2312" w:hAnsi="仿宋_GB2312" w:cs="仿宋_GB2312" w:eastAsia="仿宋_GB2312"/>
                <w:sz w:val="24"/>
              </w:rPr>
              <w:t>9、永久基本农田储备库分类型统计表。</w:t>
            </w:r>
          </w:p>
          <w:p>
            <w:pPr>
              <w:pStyle w:val="null3"/>
            </w:pPr>
            <w:r>
              <w:rPr>
                <w:rFonts w:ascii="仿宋_GB2312" w:hAnsi="仿宋_GB2312" w:cs="仿宋_GB2312" w:eastAsia="仿宋_GB2312"/>
                <w:sz w:val="24"/>
              </w:rPr>
              <w:t>10、永久基本农田储备库成果自检报告。</w:t>
            </w:r>
          </w:p>
          <w:p>
            <w:pPr>
              <w:pStyle w:val="null3"/>
            </w:pPr>
            <w:r>
              <w:rPr>
                <w:rFonts w:ascii="仿宋_GB2312" w:hAnsi="仿宋_GB2312" w:cs="仿宋_GB2312" w:eastAsia="仿宋_GB2312"/>
                <w:sz w:val="24"/>
              </w:rPr>
              <w:t>11、建立永久基本农田储备库工作总结报告。</w:t>
            </w:r>
          </w:p>
          <w:p>
            <w:pPr>
              <w:pStyle w:val="null3"/>
            </w:pPr>
            <w:r>
              <w:rPr>
                <w:rFonts w:ascii="仿宋_GB2312" w:hAnsi="仿宋_GB2312" w:cs="仿宋_GB2312" w:eastAsia="仿宋_GB2312"/>
              </w:rPr>
              <w:t xml:space="preserve"> </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法定代表人授权书（附法定代表人身份证明复印件）及被授权人身份证明（法定代表人直接参加只须提供法定代表人身份证明）</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供应商须具备土地规划乙级及以上资质和测绘乙级及以上资质；拟派项目负责人应具备相关专业中级及以上（含中级）工程师职称。</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供应商名称和公章、营业执照、资质证书等一致</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 xml:space="preserve"> 报价的有效性</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文件有效性</w:t>
            </w:r>
          </w:p>
        </w:tc>
        <w:tc>
          <w:tcPr>
            <w:tcW w:type="dxa" w:w="3322"/>
          </w:tcPr>
          <w:p>
            <w:pPr>
              <w:pStyle w:val="null3"/>
            </w:pPr>
            <w:r>
              <w:rPr>
                <w:rFonts w:ascii="仿宋_GB2312" w:hAnsi="仿宋_GB2312" w:cs="仿宋_GB2312" w:eastAsia="仿宋_GB2312"/>
              </w:rPr>
              <w:t>文件符合要求、签字盖章合格、有效</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响应文件构成无缺项，按照采购文件要求的格式编写</w:t>
            </w:r>
          </w:p>
        </w:tc>
        <w:tc>
          <w:tcPr>
            <w:tcW w:type="dxa" w:w="1661"/>
          </w:tcPr>
          <w:p>
            <w:pPr>
              <w:pStyle w:val="null3"/>
            </w:pPr>
            <w:r>
              <w:rPr>
                <w:rFonts w:ascii="仿宋_GB2312" w:hAnsi="仿宋_GB2312" w:cs="仿宋_GB2312" w:eastAsia="仿宋_GB2312"/>
              </w:rPr>
              <w:t>资格证明文件格式1.docx 服务内容及服务邀请应答表 中小企业声明函 商务应答表 供应商应提交的相关资格证明材料 报价表 汉中市政府采购供应商资格承诺函.docx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审查响应内容是否有重大缺漏项及错误</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 2023 年 1 月至今类似项目业绩，每提供 1 个得 2 分，最高得 6 分（以 中标通知书或采购合同复印件加盖公章为准）。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供应商承诺为采购人提供该项目后续其他增值服务，详细说明增值服务内容得5分，未能详细说明得2分，不提供得0分。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针对本项目提出适用于本项目的服务承诺，承诺包括但不限于①服务质量承诺；②服务周期承诺； ①服务质量承诺：（1）方案详细具体科学合理且具有针对性、可行性得7分；（2）方案明确具有一定的针对性、可行性得4分；（3）方案合理性不足，无针对性、可行性，内容空洞，可行性不强得2分。 ②服务周期承诺：（1）方案详细具体科学合理且具有针对性、可行性得7分；（2）方案明确具有一定的针对性、可行性得4分；（3）方案合理性不足，无针对性、可行性，内容空洞，可行性不强得2分。注：不提供得 0 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工作进度计划安排及保障措施</w:t>
            </w:r>
          </w:p>
        </w:tc>
        <w:tc>
          <w:tcPr>
            <w:tcW w:type="dxa" w:w="2492"/>
          </w:tcPr>
          <w:p>
            <w:pPr>
              <w:pStyle w:val="null3"/>
            </w:pPr>
            <w:r>
              <w:rPr>
                <w:rFonts w:ascii="仿宋_GB2312" w:hAnsi="仿宋_GB2312" w:cs="仿宋_GB2312" w:eastAsia="仿宋_GB2312"/>
              </w:rPr>
              <w:t>针对本项目提出适用于本项目的工作进度计划安排及保障措施，方案包括但不限于①工作进度计划安排；②工作进度计划保障措施。 ①工作进度计划安排：（1）方案详细具体科学合理且具有针对性、可行性得10分；（2）方案明确具有一定的针对性、可行性得7分；（3）方案合理性不足，无针对性、可行性，内容空洞，可行性不强得5分。 ②规划工作进度计划保障措施：（1）方案详细具体科学合理且具有针对性、可行性得10分；（2）方案明确具有一定的针对性、可行性得7分；（3）方案合理性不足，无针对性、可行性，内容空洞，可行性不强得5分。 注：不提供得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工作重点、难点分析及对策</w:t>
            </w:r>
          </w:p>
        </w:tc>
        <w:tc>
          <w:tcPr>
            <w:tcW w:type="dxa" w:w="2492"/>
          </w:tcPr>
          <w:p>
            <w:pPr>
              <w:pStyle w:val="null3"/>
            </w:pPr>
            <w:r>
              <w:rPr>
                <w:rFonts w:ascii="仿宋_GB2312" w:hAnsi="仿宋_GB2312" w:cs="仿宋_GB2312" w:eastAsia="仿宋_GB2312"/>
              </w:rPr>
              <w:t>针对本项目提出适用于本项目的工作重点、难点分析及对策，方案包括但不限于①针对本项目的重点、难点分析；②针对本项目的重点、难点的对策。 ①针对本项目的重点、难点分析：（1）方案详细具体科学合理且具有针对性、可行性得10分；（2）方案明确具有一定的针对性、可行性得7分；（3）方案合理性不足，无针对性、可行性，内容空洞，可行性不强得4分。 ②针对本项目的重点、难点的对策：（1）方案详细具体科学合理且具有针对性、可行性得10分；（2）方案明确具有一定的针对性、可行性得7分；（3）方案合理性不足，无针对性、可行性，内容空洞，可行性不强得4分。 注：不提供得 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深刻理解采购人需求，并结合项目的实际情况，能够针对性提出具体可行的①服务方案总体思路②各专项思路③工作计划及流程④技术路线及技术方法等综合评价。 以上方案内容全面、针对性强、符合本项目特点的得满分20 分，以上每缺少一项内容或内容非针对于本项目扣 5 分；每小项有一处缺陷扣 1 分，扣完为止，不提供不得分。（缺陷是指：存在不适用项目实际情况的情形、凭空编造、内容前后不一致、前后逻辑错误、针对性不强、只有简单描述没有实质性内容 、涉及的规范及标准错误、地点区域错误、内容缺失、不符合采购需求等）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针对本项目所配备人员及岗位职责情况（数量、资质、经验、从业年限等）进行综合评审。 1、拟投入的服务人员架构齐全、数量充足，项目负责人具备行业高级及以上职称，得5分； 2、拟配备服务团队人员架构明确、数量基本充足，项目负责人具备行业中级职称，得3分；注：不提供得0分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 [2007]2 号）的有关规定：价格分采用低价优先法计算，即满足竞争性磋商文件要 求且磋商价格最低的磋商报价为评审基准价，其价格分为满分 10。其他供应商的 价格分统一按照下列公式计算： 磋商报价得分=（评审基准价/磋商报价）×10%×100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详见附件：资格证明文件格式1.docx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