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版本号：YSY2026-CG-00220260119001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G316城固汉江特大桥及引线工程(G316城固汉江特大桥)涉河建设方案及洪水影响评价报告编制服务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YSY2026-CG-002</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G316城固汉江特大桥及引线工程(G316城固汉江特大桥)涉河建设方案及洪水影响评价报告编制服务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YSY2026-CG-002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G316城固汉江特大桥及引线工程(G316城固汉江特大桥)涉河建设方案及洪水影响评价报告编制服务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G316城固汉江特大桥及引线工程(G316城固汉江特大桥)涉河建设方案及洪水影响评价报告》;配合甲方做好成果上报、评审筹备组织、技术成果汇报和答辩工作;根据审查意见对报告进行修编，协助建设单位最终取得批复性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采购包1（G316城固汉江特大桥及引线工程(G316城固汉江特大桥)涉河建设方案及洪水影响评价报告编制服务）：属于专门面向中小企业采购。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供应商应授权合法的人员参加磋商：法定代表人直接参与磋商时需提供法定代表人身份证明；被授权人参与时需提供被授权人身份证复印件及法定代表人授权委托书加盖公章；</w:t>
      </w:r>
    </w:p>
    <w:p>
      <w:pPr>
        <w:pStyle w:val="null3"/>
      </w:pPr>
      <w:r>
        <w:rPr>
          <w:rFonts w:ascii="仿宋_GB2312" w:hAnsi="仿宋_GB2312" w:cs="仿宋_GB2312" w:eastAsia="仿宋_GB2312"/>
        </w:rPr>
        <w:t>3、资质要求：供应商须具备相关部门核发的《水文、水资源调查评价乙级（含乙级）及以上资质》；</w:t>
      </w:r>
    </w:p>
    <w:p>
      <w:pPr>
        <w:pStyle w:val="null3"/>
      </w:pPr>
      <w:r>
        <w:rPr>
          <w:rFonts w:ascii="仿宋_GB2312" w:hAnsi="仿宋_GB2312" w:cs="仿宋_GB2312" w:eastAsia="仿宋_GB2312"/>
        </w:rPr>
        <w:t>4、拟派项目负责人资格：拟派项目负责人须具有水利工程相关专业中级及以上职称；</w:t>
      </w:r>
    </w:p>
    <w:p>
      <w:pPr>
        <w:pStyle w:val="null3"/>
      </w:pPr>
      <w:r>
        <w:rPr>
          <w:rFonts w:ascii="仿宋_GB2312" w:hAnsi="仿宋_GB2312" w:cs="仿宋_GB2312" w:eastAsia="仿宋_GB2312"/>
        </w:rPr>
        <w:t>5、汉中市政府采购供应商资格承诺函：供应商须具有健全的财务会计制度、履行合同所需的设备和专业技术能力、依法缴纳税收和社会保障资金，以及参加采购活动前3年内经营活动无重大违法活动记录，供应商须提供《汉中市政府采购供应商资格承诺函》加盖公章；</w:t>
      </w:r>
    </w:p>
    <w:p>
      <w:pPr>
        <w:pStyle w:val="null3"/>
      </w:pPr>
      <w:r>
        <w:rPr>
          <w:rFonts w:ascii="仿宋_GB2312" w:hAnsi="仿宋_GB2312" w:cs="仿宋_GB2312" w:eastAsia="仿宋_GB2312"/>
        </w:rPr>
        <w:t>6、非联合体书面声明：本项目不接受联合体磋商，单位负责人为同一人或者存在直接控股、管理关系的不同投标人，不得参加同一合同项下的政府采购活动。(提供书面声明材料)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G316城固汉江特大桥及引线工程(G316城固汉江特大桥)涉河建设方案及洪水影响评价报告》;配合甲方做好成果上报、评审筹备组织、技术成果汇报和答辩工作;根据审查意见对报告进行修编，协助建设单位最终取得批复性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G316城固汉江特大桥及引线工程(G316城固汉江特大桥)涉河建设方案及洪水影响评价报告编制服务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标的名称：G316城固汉江特大桥及引线工程(G316城固汉江特大桥)涉河建设方案及洪水影响评价报告编制服务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按照最新政策要求，分析评价</w:t>
            </w:r>
            <w:r>
              <w:rPr>
                <w:rFonts w:ascii="仿宋_GB2312" w:hAnsi="仿宋_GB2312" w:cs="仿宋_GB2312" w:eastAsia="仿宋_GB2312"/>
                <w:sz w:val="21"/>
              </w:rPr>
              <w:t>G316城固汉江特大桥及引线工程(G316城固汉江特大桥)对现有涉河工程等第三方合法水事权益的影响，并针对以上影响提出补救措施;编制《G316城固汉江特大桥及引线工程(G316城固汉江特大桥)洪水影响评价报告》;配合甲方做好成果上报、评审筹备组织、技术成果汇报和答辩工作;根据审查意见对报告进行修编，协助建设单位最终取得批复性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完成G316城固汉江特大桥及引线工程(G316城固汉江特大桥)涉河建设方案及洪水影响评价报告编制，并协助采购人完成水利部长江水利委员会审批工作，顺利拿到批复文件；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签订合同后，本项目所须的人员、设备进场开展工作后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完成G316城固汉江特大桥及引线工程(G316城固汉江特大桥)涉河建设方案及洪水影响评价报告编制，并协助采购人通过项目审查后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完成G316城固汉江特大桥及引线工程(G316城固汉江特大桥)涉河建设方案及洪水影响评价报告编制，并协助采购人取得水利部长江水利委员会批复文件后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供应商应授权合法的人员参加磋商：法定代表人直接参与磋商时需提供法定代表人身份证明；被授权人参与时需提供被授权人身份证复印件及法定代表人授权委托书加盖公章；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供应商须具备相关部门核发的《水文、水资源调查评价乙级（含乙级）及以上资质》；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拟派项目负责人须具有水利工程相关专业中级及以上职称；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类似业绩.pdf 供应商应提交的相关资格证明材料.docx 残疾人福利性单位声明函 标的清单 响应函 项目团队.pdf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类似业绩.pdf 供应商应提交的相关资格证明材料.docx 残疾人福利性单位声明函 标的清单 响应函 项目团队.pdf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提供针对本项目特点的服务方案（包括但不限于项目目标、工作进度安排、工作方法、人员力量调配、质量控制等），要求方案内容详尽、进度安排合理、责任分工明确、质控措施完善有效。 1、方案内容详尽、进度安排合理、责任分工明确、质控措施完善有效,计（10-15]分； 2、方案内容较详尽、整体可行性较强,计（5-10]分； 3、方案整体一般，计[0-5]分；未提供不得分。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进度满足采购人需求，安排合理，方案质量、保障措施得当具体、针对性强、可操作性强得6-8分，可行性一般得3-5分，可行性差得1-2分；未提供不得分。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质量满足行业标准及采购人需求，方案质量、保障措施得当具体、针对性强、可操作性强得6-8分，可行性一般得3-5分，可行性差得1-2分；未提供不得分。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根据对本项目的理解，有节省投资、降低运行成本及提高运行管理质量的优化建议，建议的经济、合理可靠性建议，计1-6分；未提供不得分。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服务保障及承诺</w:t>
            </w:r>
          </w:p>
        </w:tc>
        <w:tc>
          <w:tcPr>
            <w:tcW w:type="dxa" w:w="2492"/>
          </w:tcPr>
          <w:p>
            <w:pPr>
              <w:pStyle w:val="null3"/>
            </w:pPr>
            <w:r>
              <w:rPr>
                <w:rFonts w:ascii="仿宋_GB2312" w:hAnsi="仿宋_GB2312" w:cs="仿宋_GB2312" w:eastAsia="仿宋_GB2312"/>
              </w:rPr>
              <w:t>1、服务保障（10分）： 供应商的保障服务方案响应及时、方式多样、解决问题及时有效，服务措施承诺及详尽可行的服务实施计划，并阐明可提供的咨询或后期服务内容，根据优劣程度计（5-10）分； 供应商的保障服务方案响应慢、方式单一、解决问题不及时的计[1-5]分。2、持续服务保证（5分）： 针对本项目特点及采购人实际需求提供详细、具体、可行的有针对性的持续服务保证措施。 ①、措施内容完善、描述具体、可行性强，计（3-5]分； ②、措施内容整体一般，计[0-3]分；未提供不得分。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结合本项目特点及实际情况，提供具有针对性的重难点分析、技术建议及对策措施。 1、重点和难点把握准确、分析清楚，建议及对策措施具有针对性、可行性、科学性,计（7-10]分； 2、重点和难点把握基本准确、分析合理，建议及对策措施针对性一般,计[4-6]分； 3、重点和难点把握基本准确、分析不到位，建议及对策措施存在偏差，针对性不强,计[1-3]分；未提供不得分。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具有完善的内部管理制度，根据响应程度方案完整、清晰、逻辑性强计6-8分；方案较完整、清晰、逻辑性较强计3-5分；方案基本完整、清晰、逻辑性一般计1-2分，未提供不得分。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供应商提供2022年1月以来（以合同签订时间为准）的类似涉河洪水影响评价项目业绩，每提供一个业绩得2.5分，最多得5分。（提供合同或中标通知书复印件）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满足项目需求，根据响应程度思路清晰合理、可行性强计10-15分；思路较清晰合理、可行性较强计5-9分；思路清晰合理一般、可行性一般计0-4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详见附件：类似业绩.pdf</w:t>
      </w:r>
    </w:p>
    <w:p>
      <w:pPr>
        <w:pStyle w:val="null3"/>
        <w:ind w:firstLine="960"/>
      </w:pPr>
      <w:r>
        <w:rPr>
          <w:rFonts w:ascii="仿宋_GB2312" w:hAnsi="仿宋_GB2312" w:cs="仿宋_GB2312" w:eastAsia="仿宋_GB2312"/>
        </w:rPr>
        <w:t>详见附件：项目团队.pdf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