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版本号：SXHC2026CG010520260323001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城固县耕地和永久基本农田划定成果核实处置技术服务项目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SXHC2026CG0105</w:t>
      </w:r>
      <w:r>
        <w:br/>
      </w:r>
      <w:r>
        <w:br/>
      </w:r>
      <w:r>
        <w:br/>
      </w:r>
    </w:p>
    <w:p>
      <w:pPr>
        <w:pStyle w:val="null3"/>
        <w:jc w:val="center"/>
        <w:outlineLvl w:val="2"/>
      </w:pPr>
      <w:r>
        <w:rPr>
          <w:rFonts w:ascii="仿宋_GB2312" w:hAnsi="仿宋_GB2312" w:cs="仿宋_GB2312" w:eastAsia="仿宋_GB2312"/>
          <w:sz w:val="28"/>
          <w:b/>
        </w:rPr>
        <w:t>城固县自然资源局</w:t>
      </w:r>
    </w:p>
    <w:p>
      <w:pPr>
        <w:pStyle w:val="null3"/>
        <w:jc w:val="center"/>
        <w:outlineLvl w:val="2"/>
      </w:pPr>
      <w:r>
        <w:rPr>
          <w:rFonts w:ascii="仿宋_GB2312" w:hAnsi="仿宋_GB2312" w:cs="仿宋_GB2312" w:eastAsia="仿宋_GB2312"/>
          <w:sz w:val="28"/>
          <w:b/>
        </w:rPr>
        <w:t>陕西华城建设项目管理有限公司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陕西华城建设项目管理有限公司</w:t>
      </w:r>
      <w:r>
        <w:rPr>
          <w:rFonts w:ascii="仿宋_GB2312" w:hAnsi="仿宋_GB2312" w:cs="仿宋_GB2312" w:eastAsia="仿宋_GB2312"/>
        </w:rPr>
        <w:t>（以下简称“代理机构”）受</w:t>
      </w:r>
      <w:r>
        <w:rPr>
          <w:rFonts w:ascii="仿宋_GB2312" w:hAnsi="仿宋_GB2312" w:cs="仿宋_GB2312" w:eastAsia="仿宋_GB2312"/>
        </w:rPr>
        <w:t>城固县自然资源局</w:t>
      </w:r>
      <w:r>
        <w:rPr>
          <w:rFonts w:ascii="仿宋_GB2312" w:hAnsi="仿宋_GB2312" w:cs="仿宋_GB2312" w:eastAsia="仿宋_GB2312"/>
        </w:rPr>
        <w:t>委托，拟对</w:t>
      </w:r>
      <w:r>
        <w:rPr>
          <w:rFonts w:ascii="仿宋_GB2312" w:hAnsi="仿宋_GB2312" w:cs="仿宋_GB2312" w:eastAsia="仿宋_GB2312"/>
        </w:rPr>
        <w:t>城固县耕地和永久基本农田划定成果核实处置技术服务项目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SXHC2026CG0105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城固县耕地和永久基本农田划定成果核实处置技术服务项目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耕地和永久基本农田划定成果核实处置技术服务, 非进口,按照省级相关件要求，对城固县划定不实及现状已经改变或建设占用的基本农田图斑进行核实，并依据文件要求进行分类处置，并建立城固县基本农田数据库。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采购包1（耕地和永久基本农田划定成果核实处置技术服务项）：属于专门面向中小企业采购。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2、授权书：法定代表人授权书（附法定代表人身份证明复印件）及被授权人身 份证明（法定代表人直接参加谈判只须提供法定代表人身份证明）</w:t>
      </w:r>
    </w:p>
    <w:p>
      <w:pPr>
        <w:pStyle w:val="null3"/>
      </w:pPr>
      <w:r>
        <w:rPr>
          <w:rFonts w:ascii="仿宋_GB2312" w:hAnsi="仿宋_GB2312" w:cs="仿宋_GB2312" w:eastAsia="仿宋_GB2312"/>
        </w:rPr>
        <w:t>3、承诺函：供应商须提供《汉中市政府采购供应商资格承诺函》。</w:t>
      </w:r>
    </w:p>
    <w:p>
      <w:pPr>
        <w:pStyle w:val="null3"/>
      </w:pPr>
      <w:r>
        <w:rPr>
          <w:rFonts w:ascii="仿宋_GB2312" w:hAnsi="仿宋_GB2312" w:cs="仿宋_GB2312" w:eastAsia="仿宋_GB2312"/>
        </w:rPr>
        <w:t>4、本项目不接受联合体投标：本项目不接受联合体投标。</w:t>
      </w:r>
    </w:p>
    <w:p>
      <w:pPr>
        <w:pStyle w:val="null3"/>
      </w:pPr>
      <w:r>
        <w:rPr>
          <w:rFonts w:ascii="仿宋_GB2312" w:hAnsi="仿宋_GB2312" w:cs="仿宋_GB2312" w:eastAsia="仿宋_GB2312"/>
        </w:rPr>
        <w:t>5、供应商资格要求：供应商需具有土地规划乙级（含或以上）资质，且具有注册城乡规划师证书。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城固县西环二路中段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城固县自然资源局经办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15891161688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陕西省汉中市汉台区天汉大道钟楼十字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0916-7217799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开户名称：陕西华城建设项目管理有限公司</w:t>
            </w:r>
          </w:p>
          <w:p>
            <w:pPr>
              <w:pStyle w:val="null3"/>
            </w:pPr>
            <w:r>
              <w:rPr>
                <w:rFonts w:ascii="仿宋_GB2312" w:hAnsi="仿宋_GB2312" w:cs="仿宋_GB2312" w:eastAsia="仿宋_GB2312"/>
              </w:rPr>
              <w:t>开户银行：中国工商银行汉中分行中山街支行</w:t>
            </w:r>
          </w:p>
          <w:p>
            <w:pPr>
              <w:pStyle w:val="null3"/>
            </w:pPr>
            <w:r>
              <w:rPr>
                <w:rFonts w:ascii="仿宋_GB2312" w:hAnsi="仿宋_GB2312" w:cs="仿宋_GB2312" w:eastAsia="仿宋_GB2312"/>
              </w:rPr>
              <w:t>银行账号：2606 0502 0924 5102 397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100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代理服务费收费标准：代理服务费收取标准按照《招标代理服务收费管理暂行办法》计价格[2002]1980号文和发改价格[2011]534号文标准计取，由成交人在领取成交通知书前向代理机构支付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城固县自然资源局</w:t>
      </w:r>
      <w:r>
        <w:rPr>
          <w:rFonts w:ascii="仿宋_GB2312" w:hAnsi="仿宋_GB2312" w:cs="仿宋_GB2312" w:eastAsia="仿宋_GB2312"/>
        </w:rPr>
        <w:t>和</w:t>
      </w:r>
      <w:r>
        <w:rPr>
          <w:rFonts w:ascii="仿宋_GB2312" w:hAnsi="仿宋_GB2312" w:cs="仿宋_GB2312" w:eastAsia="仿宋_GB2312"/>
        </w:rPr>
        <w:t>陕西华城建设项目管理有限公司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联系电话：0916-7217799</w:t>
      </w:r>
    </w:p>
    <w:p>
      <w:pPr>
        <w:pStyle w:val="null3"/>
      </w:pPr>
      <w:r>
        <w:rPr>
          <w:rFonts w:ascii="仿宋_GB2312" w:hAnsi="仿宋_GB2312" w:cs="仿宋_GB2312" w:eastAsia="仿宋_GB2312"/>
        </w:rPr>
        <w:t>地址：陕西省汉中市汉台区天汉大道钟楼十字</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耕地和永久基本农田划定成果核实处置技术服务, 非进口,按照省级相关件要求，对城固县划定不实及现状已经改变或建设占用的基本农田图斑进行核实，并依据文件要求进行分类处置，并建立城固县基本农田数据库。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1,806,000.00</w:t>
      </w:r>
    </w:p>
    <w:p>
      <w:pPr>
        <w:pStyle w:val="null3"/>
      </w:pPr>
      <w:r>
        <w:rPr>
          <w:rFonts w:ascii="仿宋_GB2312" w:hAnsi="仿宋_GB2312" w:cs="仿宋_GB2312" w:eastAsia="仿宋_GB2312"/>
        </w:rPr>
        <w:t>采购包最高限价（元）: 1,806,000.00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耕地和永久基本农田划定成果核实处置技术服务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标的名称：耕地和永久基本农田划定成果核实处置技术服务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1.县级核实处置成果</w:t>
            </w:r>
            <w:r>
              <w:br/>
            </w:r>
            <w:r>
              <w:rPr>
                <w:rFonts w:ascii="仿宋_GB2312" w:hAnsi="仿宋_GB2312" w:cs="仿宋_GB2312" w:eastAsia="仿宋_GB2312"/>
              </w:rPr>
              <w:t xml:space="preserve"> (1)永久基本农田核实处置成果；(2)耕地保护目标核实处置成果。</w:t>
            </w:r>
            <w:r>
              <w:br/>
            </w:r>
            <w:r>
              <w:rPr>
                <w:rFonts w:ascii="仿宋_GB2312" w:hAnsi="仿宋_GB2312" w:cs="仿宋_GB2312" w:eastAsia="仿宋_GB2312"/>
              </w:rPr>
              <w:t xml:space="preserve"> 2.城固县耕地和永久基本农田核实处置方案</w:t>
            </w:r>
            <w:r>
              <w:br/>
            </w:r>
            <w:r>
              <w:rPr>
                <w:rFonts w:ascii="仿宋_GB2312" w:hAnsi="仿宋_GB2312" w:cs="仿宋_GB2312" w:eastAsia="仿宋_GB2312"/>
              </w:rPr>
              <w:t xml:space="preserve"> 3.县级自检报告</w:t>
            </w:r>
            <w:r>
              <w:br/>
            </w:r>
            <w:r>
              <w:rPr>
                <w:rFonts w:ascii="仿宋_GB2312" w:hAnsi="仿宋_GB2312" w:cs="仿宋_GB2312" w:eastAsia="仿宋_GB2312"/>
              </w:rPr>
              <w:t xml:space="preserve"> 4.永久基本农田处置情况统计表</w:t>
            </w:r>
            <w:r>
              <w:br/>
            </w:r>
            <w:r>
              <w:rPr>
                <w:rFonts w:ascii="仿宋_GB2312" w:hAnsi="仿宋_GB2312" w:cs="仿宋_GB2312" w:eastAsia="仿宋_GB2312"/>
              </w:rPr>
              <w:t xml:space="preserve"> 5.耕地保护目标处置情况统计表</w:t>
            </w:r>
            <w:r>
              <w:br/>
            </w:r>
            <w:r>
              <w:rPr>
                <w:rFonts w:ascii="仿宋_GB2312" w:hAnsi="仿宋_GB2312" w:cs="仿宋_GB2312" w:eastAsia="仿宋_GB2312"/>
              </w:rPr>
              <w:t xml:space="preserve"> 6.县级数据检查记录</w:t>
            </w:r>
            <w:r>
              <w:br/>
            </w:r>
            <w:r>
              <w:rPr>
                <w:rFonts w:ascii="仿宋_GB2312" w:hAnsi="仿宋_GB2312" w:cs="仿宋_GB2312" w:eastAsia="仿宋_GB2312"/>
              </w:rPr>
              <w:t xml:space="preserve"> 7.县级永久基本农田核实处置工作总结报告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CDATA[1、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 2、技术依据： 1）<<自然资源部办公厅关于严肃开展耕地和永久基本农田划定成果核实处置工作的通知>>(自然资办发[2023]25号); 2）<<国家发展和改革委员会财政部国家林业局农业部国土资源部关于印发新一轮退耕还林还草总体方案的通知>>(发改西部[2014]1772号); 3）<<自然资源部农业农村部关于设施农业用地管理有关问题的通知>>(自然资规[2019]4号); 4）<<自然资源部办公厅关于进一步加强国土空间规划"一张图"系统建设的通知>>(自然资办发[2022]19号); 5）<<自然资源部关于在全国开展"三区三线"划定工作的函>>(自然资办函[2022]47号); 6）<<自然资源部办公厅关于开展2022年度全国国土变更调查工作的通知>>(自然资办发[2022]49号); 7）<<自然资源部办公厅关于印发"三区三线"划定成果数据汇交要求的函>>(自然资办函[2022]1541号); 8）<<基本农田划定技术规程>>(TD/T1032-2011); 9）<<第三次全国国土调查技术规程>>(TD/T1055-2019); 10）<<国土调查数据库标准>>(TD/T1057-2020); 11）<<国土变更调查技术规程>>(2022年度适用); 12）其他相关行业标准和文件。]]>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合同签订后（财政资金下达后）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乙方向甲方提交最终成果并验收合格后（财政资金下达后）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资格证明文件格式1.docx 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资格证明文件格式1.docx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法定代表人授权书（附法定代表人身份证明复印件）及被授权人身 份证明（法定代表人直接参加谈判只须提供法定代表人身份证明）</w:t>
            </w:r>
          </w:p>
        </w:tc>
        <w:tc>
          <w:tcPr>
            <w:tcW w:type="dxa" w:w="1661"/>
          </w:tcPr>
          <w:p>
            <w:pPr>
              <w:pStyle w:val="null3"/>
            </w:pPr>
            <w:r>
              <w:rPr>
                <w:rFonts w:ascii="仿宋_GB2312" w:hAnsi="仿宋_GB2312" w:cs="仿宋_GB2312" w:eastAsia="仿宋_GB2312"/>
              </w:rPr>
              <w:t>资格证明文件格式1.docx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资格证明文件格式1.docx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供应商需具有土地规划乙级（含或以上）资质，且具有注册城乡规划师证书。</w:t>
            </w:r>
          </w:p>
        </w:tc>
        <w:tc>
          <w:tcPr>
            <w:tcW w:type="dxa" w:w="1661"/>
          </w:tcPr>
          <w:p>
            <w:pPr>
              <w:pStyle w:val="null3"/>
            </w:pPr>
            <w:r>
              <w:rPr>
                <w:rFonts w:ascii="仿宋_GB2312" w:hAnsi="仿宋_GB2312" w:cs="仿宋_GB2312" w:eastAsia="仿宋_GB2312"/>
              </w:rPr>
              <w:t>资格证明文件格式1.docx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资格证明文件格式1.docx 服务内容及服务邀请应答表 中小企业声明函 商务应答表 供应商应提交的相关资格证明材料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 求或技术要求出现实质性偏差；2.要求全面响应 磋商文件，不能有任何采购人不能接受的附加 条件；3.规定不接受选择方案和选择报价（包括 交叉折扣）的，供应商提供了选择方案/或选择 报价（包括交叉折扣）；4.提供虚假证明，开具 虚假资质，出现虚假应答</w:t>
            </w:r>
          </w:p>
        </w:tc>
        <w:tc>
          <w:tcPr>
            <w:tcW w:type="dxa" w:w="1661"/>
          </w:tcPr>
          <w:p>
            <w:pPr>
              <w:pStyle w:val="null3"/>
            </w:pPr>
            <w:r>
              <w:rPr>
                <w:rFonts w:ascii="仿宋_GB2312" w:hAnsi="仿宋_GB2312" w:cs="仿宋_GB2312" w:eastAsia="仿宋_GB2312"/>
              </w:rPr>
              <w:t>资格证明文件格式1.docx 服务内容及服务邀请应答表 中小企业声明函 商务应答表 供应商应提交的相关资格证明材料 报价表 汉中市政府采购供应商资格承诺函.docx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深刻理解、全面把握采购人需求，并结合项目的实际情况，能够针对性提出具体可行的①服务方案总体思路②各专项思路③工作计划及流程④技术路线及技术方法等综合评价。 以上方案内容全面、针对性强、符合本项目特点的得满分 20 分，以上每缺少一项内容或内容非针对于本项目扣 5分；每小项有一处缺陷扣 2 分，扣完为止，不提供不得分。（缺陷是指：存在不适用项目实际情况的情形、凭空编造、内容前后不一致、前后逻辑错误、针对性不强、只有简单描述没有实质性内容 、涉及的规范及标准错误、地点区域错误、内容缺失、不符合采购需求等）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规划工作重点、难点分析及对策</w:t>
            </w:r>
          </w:p>
        </w:tc>
        <w:tc>
          <w:tcPr>
            <w:tcW w:type="dxa" w:w="2492"/>
          </w:tcPr>
          <w:p>
            <w:pPr>
              <w:pStyle w:val="null3"/>
            </w:pPr>
            <w:r>
              <w:rPr>
                <w:rFonts w:ascii="仿宋_GB2312" w:hAnsi="仿宋_GB2312" w:cs="仿宋_GB2312" w:eastAsia="仿宋_GB2312"/>
              </w:rPr>
              <w:t>针对本项目提出适用于本项目的规划工作重点、难点分析及对策，方案包括但不限于①针对本项目的重点、难点分析；②针对本项目的重点、难点的对策。 ①针对本项目的重点、难点分析：（1）方案详细具体科学合理且具有针对性、可行性得8分；（2）方案明确具有一定的针对性、可行性得5分；（3）方案合理性不足，无针对性、可行性，内容空洞，可行性不强得2分。 ②针对本项目的重点、难点的对策：（1）方案详细具体科学合理且具有针对性、可行性得9分；（2）方案明确具有一定的针对性、可行性得6分；（3）方案合理性不足，无针对性、可行性，内容空洞，可行性不强得3分。 注：不提供得 0 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质量控制的程序、措施和质量保证体系</w:t>
            </w:r>
          </w:p>
        </w:tc>
        <w:tc>
          <w:tcPr>
            <w:tcW w:type="dxa" w:w="2492"/>
          </w:tcPr>
          <w:p>
            <w:pPr>
              <w:pStyle w:val="null3"/>
            </w:pPr>
            <w:r>
              <w:rPr>
                <w:rFonts w:ascii="仿宋_GB2312" w:hAnsi="仿宋_GB2312" w:cs="仿宋_GB2312" w:eastAsia="仿宋_GB2312"/>
              </w:rPr>
              <w:t>根据供应商对本项目①质量控制的程序②质量控制措施③质量保证体系等综合评价。 以上方案内容全面、针对性强、符合本项目特点的得满分 15分，以上每缺少一项内容或内容非针对于本项目扣 5分；每小项有一处缺陷扣 1分，扣完为止，不提供不得分。（缺陷是指：存在不适用项目实际情况的情形、凭空编造、内容前后不一致、前后逻辑错误、针对性不强、只有简单描述没有实质性内容 、涉及的规范及标准错误、地点区域错误、内容缺失、不符合采购需求等）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规划工作进度计划安排及保障措施</w:t>
            </w:r>
          </w:p>
        </w:tc>
        <w:tc>
          <w:tcPr>
            <w:tcW w:type="dxa" w:w="2492"/>
          </w:tcPr>
          <w:p>
            <w:pPr>
              <w:pStyle w:val="null3"/>
            </w:pPr>
            <w:r>
              <w:rPr>
                <w:rFonts w:ascii="仿宋_GB2312" w:hAnsi="仿宋_GB2312" w:cs="仿宋_GB2312" w:eastAsia="仿宋_GB2312"/>
              </w:rPr>
              <w:t>针对本项目提出适用于本项目的规划工作进度计划安排及保障措施，方案包括但不限于①规划工作进度计划安排；②规划工作进度计划保障措施。 ①规划工作进度计划安排：（1）方案详细具体科学合理且具有针对性、可行性得6分；（2）方案明确具有一定的针对性、可行性得4分；（3）方案合理性不足，无针对性、可行性，内容空洞，可行性不强得2分。 ②规划工作进度计划保障措施：（1）方案详细具体科学合理且具有针对性、可行性得6分；（2）方案明确具有一定的针对性、可行性得4分；（3）方案合理性不足，无针对性、可行性，内容空洞，可行性不强得2分。 注：不提供得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针对本项目提出适用于本项目的服务承诺，承诺包括但不限于①服务质量承诺；②服务周期承诺； ①服务质量承诺：（1）方案详细具体科学合理且具有针对性、可行性得5分；（2）方案明确具有一定的针对性、可行性得3分；（3）方案合理性不足，无针对性、可行性，内容空洞，可行性不强得2分。 ②服务周期承诺：（1）方案详细具体科学合理且具有针对性、可行性得5分；（2）方案明确具有一定的针对性、可行性得3分；（3）方案合理性不足，无针对性、可行性，内容空洞，可行性不强得2分。注：不提供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项目组人员构成</w:t>
            </w:r>
          </w:p>
        </w:tc>
        <w:tc>
          <w:tcPr>
            <w:tcW w:type="dxa" w:w="2492"/>
          </w:tcPr>
          <w:p>
            <w:pPr>
              <w:pStyle w:val="null3"/>
            </w:pPr>
            <w:r>
              <w:rPr>
                <w:rFonts w:ascii="仿宋_GB2312" w:hAnsi="仿宋_GB2312" w:cs="仿宋_GB2312" w:eastAsia="仿宋_GB2312"/>
              </w:rPr>
              <w:t>针对本项目所配备人员及岗位职责情况（数量、资质、经验、从业年限等）进行综合评审。1、拟投入的服务人员架构齐全、数量充足，项目负责人具备注册城乡规划师证书、相关专业高级职称(含副高），其他配备人员具有中级职称4人及以上得10分； 2、拟配备服务团队人员架构明确、数量基本充足，项目负责人具备注册城乡规划师证书、相关专业中级，其他配备人员具有相关专业职称4人及以上得7分； 3、拟配备服务团队人员架构不明确、数量不足，项目负责人具备注册城乡规划师证书，其他配备人员具有相关专业职称不少于2人得 4 分； 注：不提供得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 2023 年 1 月至今类似项目业绩，每提供 1 个得 2 分，最高得 6 分（以中 标通知书或采购合同复印件加盖公章为准）。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 [2007]2 号）的有关规定：价格分采用低价优先法计算，即满足竞争性磋商文件要 求且磋商价格最低的磋商报价为评审基准价，其价格分为满分 10。其他供应商的 价格分统一按照下列公式计算： 磋商报价得分=（评审基准价/磋商报价）×10，得算分数时四舍五入取小数点后两位。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详见附件：资格证明文件格式1.docx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