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版本号：JXZC-HZ-2026-00120260120001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向日寺村排洪灌溉渠建设项目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JXZC-HZ-2026-001</w:t>
      </w:r>
      <w:r>
        <w:br/>
      </w:r>
      <w:r>
        <w:br/>
      </w:r>
      <w:r>
        <w:br/>
      </w:r>
    </w:p>
    <w:p>
      <w:pPr>
        <w:pStyle w:val="null3"/>
        <w:jc w:val="center"/>
        <w:outlineLvl w:val="2"/>
      </w:pPr>
      <w:r>
        <w:rPr>
          <w:rFonts w:ascii="仿宋_GB2312" w:hAnsi="仿宋_GB2312" w:cs="仿宋_GB2312" w:eastAsia="仿宋_GB2312"/>
          <w:sz w:val="28"/>
          <w:b/>
        </w:rPr>
        <w:t>城固县上元观镇人民政府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城固县上元观镇人民政府</w:t>
      </w:r>
      <w:r>
        <w:rPr>
          <w:rFonts w:ascii="仿宋_GB2312" w:hAnsi="仿宋_GB2312" w:cs="仿宋_GB2312" w:eastAsia="仿宋_GB2312"/>
        </w:rPr>
        <w:t>委托，拟对</w:t>
      </w:r>
      <w:r>
        <w:rPr>
          <w:rFonts w:ascii="仿宋_GB2312" w:hAnsi="仿宋_GB2312" w:cs="仿宋_GB2312" w:eastAsia="仿宋_GB2312"/>
        </w:rPr>
        <w:t>向日寺村排洪灌溉渠建设项目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JXZC-HZ-2026-001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向日寺村排洪灌溉渠建设项目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位于城固县上元观镇向日寺村地处城固县以西，上元观镇以北，距县城15公里。主要工作内容为排洪渠总长1732m，治理排洪渠1708m，其中渠底衬砌436m，新建梯形浆砌石排洪渠132m，新建梯形混凝土排洪渠1124m，重建机耕桥4座等建设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采购包1（向日寺村排洪灌溉渠建设项目）：属于专门面向中小企业采购。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2、拟派项目负责人资质：项目负责人应具备水利水电工程专业二级（含二级）及以上注册建造师资格、具有有效的安全考核合格证（B证），且无在建工程（出具无在建承诺书）</w:t>
      </w:r>
    </w:p>
    <w:p>
      <w:pPr>
        <w:pStyle w:val="null3"/>
      </w:pPr>
      <w:r>
        <w:rPr>
          <w:rFonts w:ascii="仿宋_GB2312" w:hAnsi="仿宋_GB2312" w:cs="仿宋_GB2312" w:eastAsia="仿宋_GB2312"/>
        </w:rPr>
        <w:t>3、供应商资质：供应商应具备建设行政部门核发的水利水电工程施工总承包三级（含三级）及以上资质，安全生产许可证合格有效</w:t>
      </w:r>
    </w:p>
    <w:p>
      <w:pPr>
        <w:pStyle w:val="null3"/>
      </w:pPr>
      <w:r>
        <w:rPr>
          <w:rFonts w:ascii="仿宋_GB2312" w:hAnsi="仿宋_GB2312" w:cs="仿宋_GB2312" w:eastAsia="仿宋_GB2312"/>
        </w:rPr>
        <w:t>4、法定代表人授权委托书：法定代表人直接参加磋商的，须出具法人身份证（附法定代表人身份证复印件）；法定代表人授权代表参加磋商的，须出具法定代表人授权书及被授权代表身份证（附法定代表人身份证复印件及被授权人身份证复印件）</w:t>
      </w:r>
    </w:p>
    <w:p>
      <w:pPr>
        <w:pStyle w:val="null3"/>
      </w:pPr>
      <w:r>
        <w:rPr>
          <w:rFonts w:ascii="仿宋_GB2312" w:hAnsi="仿宋_GB2312" w:cs="仿宋_GB2312" w:eastAsia="仿宋_GB2312"/>
        </w:rPr>
        <w:t>5、投标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城固县上元观镇人民政府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城固县上元观镇人民路10号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19991628969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17792181666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城固县上元观镇人民政府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城固县上元观镇人民政府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城固县上元观镇人民政府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质量达到相关行业验收标准合格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联系电话：17792181666</w:t>
      </w:r>
    </w:p>
    <w:p>
      <w:pPr>
        <w:pStyle w:val="null3"/>
      </w:pPr>
      <w:r>
        <w:rPr>
          <w:rFonts w:ascii="仿宋_GB2312" w:hAnsi="仿宋_GB2312" w:cs="仿宋_GB2312" w:eastAsia="仿宋_GB2312"/>
        </w:rPr>
        <w:t>地址：陕西省西安市碑林区陕西省西安市碑林区南二环路79号广丰国际大厦11区906室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1,936,958.77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向日寺村排洪灌溉渠建设项目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标的名称：向日寺村排洪灌溉渠建设项目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1）施工范围：工程量清单内所含的全部内容</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2）工期：180日历天</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3）质量标准：合格标准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4）本工程计价采用陕西易投造价软件2025版</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5）本项目各包采购预算金额如下：</w:t>
            </w:r>
          </w:p>
          <w:p>
            <w:pPr>
              <w:pStyle w:val="null3"/>
              <w:spacing w:before="105" w:after="105"/>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1：2000000.00元</w:t>
            </w:r>
          </w:p>
          <w:p>
            <w:pPr>
              <w:pStyle w:val="null3"/>
              <w:spacing w:before="105" w:after="105"/>
              <w:ind w:firstLine="480"/>
              <w:jc w:val="left"/>
            </w:pPr>
            <w:r>
              <w:rPr>
                <w:rFonts w:ascii="仿宋_GB2312" w:hAnsi="仿宋_GB2312" w:cs="仿宋_GB2312" w:eastAsia="仿宋_GB2312"/>
                <w:sz w:val="24"/>
              </w:rPr>
              <w:t>采购包最高限价（元）</w:t>
            </w:r>
            <w:r>
              <w:rPr>
                <w:rFonts w:ascii="仿宋_GB2312" w:hAnsi="仿宋_GB2312" w:cs="仿宋_GB2312" w:eastAsia="仿宋_GB2312"/>
                <w:sz w:val="24"/>
              </w:rPr>
              <w:t>: 1936958.77 元</w:t>
            </w:r>
          </w:p>
          <w:p>
            <w:pPr>
              <w:pStyle w:val="null3"/>
              <w:spacing w:before="105" w:after="105"/>
              <w:jc w:val="left"/>
            </w:pPr>
            <w:r>
              <w:rPr>
                <w:rFonts w:ascii="仿宋_GB2312" w:hAnsi="仿宋_GB2312" w:cs="仿宋_GB2312" w:eastAsia="仿宋_GB2312"/>
                <w:sz w:val="24"/>
              </w:rPr>
              <w:t xml:space="preserve">    供应商采购包报价高于采购包最高限价的，其响应文件将按无效处理。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用“电子保函”缴纳投标保证金的供应商，需在开标前将电子保函提交至“汉中市汉台区南大街汉上第一街7号楼1401号，建信众诚工程咨询有限公司汉中分公司”或发送至电子邮箱“499159984@qq.com”，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项目负责人应具备水利水电工程专业二级（含二级）及以上注册建造师资格、具有有效的安全考核合格证（B证），且无在建工程（出具无在建承诺书）</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供应商应具备建设行政部门核发的水利水电工程施工总承包三级（含三级）及以上资质，安全生产许可证合格有效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供应商应提交的相关资格证明材料(1).pdf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环保护措施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供应商提供自2023年1月至今类似项目业绩，响应文件中应附有其业绩证明材料，业绩以协议书（合同）或（中标）成交通知书加盖公章的复印件为依据，每提供一个得2.5分，满分5分。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一、评审内容：项目部人员组成 二、评审标准 ①人员配置满足本项目需求计5分，； ②人员配置基本满足本项目需求计3分；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详见附件：供应商应提交的相关资格证明材料(1).pdf</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