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版本号：ZC2026-FW-02520260127001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三合镇至马道镇（城固段）公路工程勘测定界及建设用地报批技术服务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ZC2026-FW-025</w:t>
      </w:r>
      <w:r>
        <w:br/>
      </w:r>
      <w:r>
        <w:br/>
      </w:r>
      <w:r>
        <w:br/>
      </w:r>
    </w:p>
    <w:p>
      <w:pPr>
        <w:pStyle w:val="null3"/>
        <w:jc w:val="center"/>
        <w:outlineLvl w:val="2"/>
      </w:pPr>
      <w:r>
        <w:rPr>
          <w:rFonts w:ascii="仿宋_GB2312" w:hAnsi="仿宋_GB2312" w:cs="仿宋_GB2312" w:eastAsia="仿宋_GB2312"/>
          <w:sz w:val="28"/>
          <w:b/>
        </w:rPr>
        <w:t>城固县交通运输局</w:t>
      </w:r>
    </w:p>
    <w:p>
      <w:pPr>
        <w:pStyle w:val="null3"/>
        <w:jc w:val="center"/>
        <w:outlineLvl w:val="2"/>
      </w:pPr>
      <w:r>
        <w:rPr>
          <w:rFonts w:ascii="仿宋_GB2312" w:hAnsi="仿宋_GB2312" w:cs="仿宋_GB2312" w:eastAsia="仿宋_GB2312"/>
          <w:sz w:val="28"/>
          <w:b/>
        </w:rPr>
        <w:t>陕西中采项目管理有限公司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陕西中采项目管理有限公司</w:t>
      </w:r>
      <w:r>
        <w:rPr>
          <w:rFonts w:ascii="仿宋_GB2312" w:hAnsi="仿宋_GB2312" w:cs="仿宋_GB2312" w:eastAsia="仿宋_GB2312"/>
        </w:rPr>
        <w:t>（以下简称“代理机构”）受</w:t>
      </w:r>
      <w:r>
        <w:rPr>
          <w:rFonts w:ascii="仿宋_GB2312" w:hAnsi="仿宋_GB2312" w:cs="仿宋_GB2312" w:eastAsia="仿宋_GB2312"/>
        </w:rPr>
        <w:t>城固县交通运输局</w:t>
      </w:r>
      <w:r>
        <w:rPr>
          <w:rFonts w:ascii="仿宋_GB2312" w:hAnsi="仿宋_GB2312" w:cs="仿宋_GB2312" w:eastAsia="仿宋_GB2312"/>
        </w:rPr>
        <w:t>委托，拟对</w:t>
      </w:r>
      <w:r>
        <w:rPr>
          <w:rFonts w:ascii="仿宋_GB2312" w:hAnsi="仿宋_GB2312" w:cs="仿宋_GB2312" w:eastAsia="仿宋_GB2312"/>
        </w:rPr>
        <w:t>三合镇至马道镇（城固段）公路工程勘测定界及建设用地报批技术服务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ZC2026-FW-025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三合镇至马道镇（城固段）公路工程勘测定界及建设用地报批技术服务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对三合镇至马道镇（城固段）公路工程勘测定界及建设用地报批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采购包1（三合镇至马道镇（城固段）公路工程勘测定界及建设用地报批技术服务）：属于专门面向中小企业采购。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1、有效的主体资格证明：供应商为具有独立承担民事责任能力的企业法人、事业法人、其他组织，提供营业执照（事业单位须事业单位法人证、组织机构代码证等证明文件；其他组织应提供合法证明文件）；</w:t>
      </w:r>
    </w:p>
    <w:p>
      <w:pPr>
        <w:pStyle w:val="null3"/>
      </w:pPr>
      <w:r>
        <w:rPr>
          <w:rFonts w:ascii="仿宋_GB2312" w:hAnsi="仿宋_GB2312" w:cs="仿宋_GB2312" w:eastAsia="仿宋_GB2312"/>
        </w:rPr>
        <w:t>2、法定代表人或委托代理人身份证明：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3、供应商资质：供应商须具备国家行政主管部门颁发的土地规划乙级（含乙级）及以上和测绘乙级（含乙级）及以上资质；</w:t>
      </w:r>
    </w:p>
    <w:p>
      <w:pPr>
        <w:pStyle w:val="null3"/>
      </w:pPr>
      <w:r>
        <w:rPr>
          <w:rFonts w:ascii="仿宋_GB2312" w:hAnsi="仿宋_GB2312" w:cs="仿宋_GB2312" w:eastAsia="仿宋_GB2312"/>
        </w:rPr>
        <w:t>4、汉中市政府采购供应商资格承诺函：供应商须具有良好的商业信誉和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5、联合体：本项目不接受联合体投标；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城固县西环一路中段15号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城固县交通运输局经办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0916-7212904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西安市高新区高新三路9号新时代大厦西四楼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18189275352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开户名称：陕西中采项目管理有限公司汉中分公司</w:t>
            </w:r>
          </w:p>
          <w:p>
            <w:pPr>
              <w:pStyle w:val="null3"/>
            </w:pPr>
            <w:r>
              <w:rPr>
                <w:rFonts w:ascii="仿宋_GB2312" w:hAnsi="仿宋_GB2312" w:cs="仿宋_GB2312" w:eastAsia="仿宋_GB2312"/>
              </w:rPr>
              <w:t>开户银行：中国建设银行股份有限公司汉中南一环路支行</w:t>
            </w:r>
          </w:p>
          <w:p>
            <w:pPr>
              <w:pStyle w:val="null3"/>
            </w:pPr>
            <w:r>
              <w:rPr>
                <w:rFonts w:ascii="仿宋_GB2312" w:hAnsi="仿宋_GB2312" w:cs="仿宋_GB2312" w:eastAsia="仿宋_GB2312"/>
              </w:rPr>
              <w:t>银行账号：61050111271100000162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依据《国家计委关于印发标代理服务收费管理暂行办法的通知》(计价格【2002】1980号)和国家发改委办公厅国发的《关于招标代理服务收费有关问题的通知》(发改办价格【2003】857号)文件规定的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城固县交通运输局</w:t>
      </w:r>
      <w:r>
        <w:rPr>
          <w:rFonts w:ascii="仿宋_GB2312" w:hAnsi="仿宋_GB2312" w:cs="仿宋_GB2312" w:eastAsia="仿宋_GB2312"/>
        </w:rPr>
        <w:t>和</w:t>
      </w:r>
      <w:r>
        <w:rPr>
          <w:rFonts w:ascii="仿宋_GB2312" w:hAnsi="仿宋_GB2312" w:cs="仿宋_GB2312" w:eastAsia="仿宋_GB2312"/>
        </w:rPr>
        <w:t>陕西中采项目管理有限公司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城固县交通运输局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城固县交通运输局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根据具体工作内容的相关标准进行验收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联系电话：18189275352</w:t>
      </w:r>
    </w:p>
    <w:p>
      <w:pPr>
        <w:pStyle w:val="null3"/>
      </w:pPr>
      <w:r>
        <w:rPr>
          <w:rFonts w:ascii="仿宋_GB2312" w:hAnsi="仿宋_GB2312" w:cs="仿宋_GB2312" w:eastAsia="仿宋_GB2312"/>
        </w:rPr>
        <w:t>地址：西安市高新区高新三路9号新时代大厦西四楼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对三合镇至马道镇（城固段）公路工程勘测定界及建设用地报批技术服务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1,070,000.00</w:t>
      </w:r>
    </w:p>
    <w:p>
      <w:pPr>
        <w:pStyle w:val="null3"/>
      </w:pPr>
      <w:r>
        <w:rPr>
          <w:rFonts w:ascii="仿宋_GB2312" w:hAnsi="仿宋_GB2312" w:cs="仿宋_GB2312" w:eastAsia="仿宋_GB2312"/>
        </w:rPr>
        <w:t>采购包最高限价（元）: 1,070,000.00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三合镇至马道镇（城固段）公路工程勘测定界及建设用地报批技术服务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标的名称：三合镇至马道镇（城固段）公路工程勘测定界及建设用地报批技术服务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color w:val="222222"/>
              </w:rPr>
              <w:t>一、</w:t>
            </w:r>
            <w:r>
              <w:rPr>
                <w:rFonts w:ascii="仿宋_GB2312" w:hAnsi="仿宋_GB2312" w:cs="仿宋_GB2312" w:eastAsia="仿宋_GB2312"/>
                <w:sz w:val="24"/>
                <w:b/>
                <w:color w:val="222222"/>
              </w:rPr>
              <w:t>服务内容</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勘测定界</w:t>
            </w:r>
            <w:r>
              <w:rPr>
                <w:rFonts w:ascii="仿宋_GB2312" w:hAnsi="仿宋_GB2312" w:cs="仿宋_GB2312" w:eastAsia="仿宋_GB2312"/>
                <w:sz w:val="24"/>
                <w:b/>
              </w:rPr>
              <w:t>工作内容：</w:t>
            </w:r>
          </w:p>
          <w:p>
            <w:pPr>
              <w:pStyle w:val="null3"/>
              <w:jc w:val="left"/>
            </w:pPr>
            <w:r>
              <w:rPr>
                <w:rFonts w:ascii="仿宋_GB2312" w:hAnsi="仿宋_GB2312" w:cs="仿宋_GB2312" w:eastAsia="仿宋_GB2312"/>
                <w:sz w:val="24"/>
              </w:rPr>
              <w:t>1、前期准备工作：资料收集与核查、现场踏勘、技术方案编制。</w:t>
            </w:r>
          </w:p>
          <w:p>
            <w:pPr>
              <w:pStyle w:val="null3"/>
              <w:jc w:val="left"/>
            </w:pPr>
            <w:r>
              <w:rPr>
                <w:rFonts w:ascii="仿宋_GB2312" w:hAnsi="仿宋_GB2312" w:cs="仿宋_GB2312" w:eastAsia="仿宋_GB2312"/>
                <w:sz w:val="24"/>
              </w:rPr>
              <w:t>2、控制测量：控制点布设、控制点测量与复核、控制点标识。</w:t>
            </w:r>
          </w:p>
          <w:p>
            <w:pPr>
              <w:pStyle w:val="null3"/>
              <w:jc w:val="left"/>
            </w:pPr>
            <w:r>
              <w:rPr>
                <w:rFonts w:ascii="仿宋_GB2312" w:hAnsi="仿宋_GB2312" w:cs="仿宋_GB2312" w:eastAsia="仿宋_GB2312"/>
                <w:sz w:val="24"/>
              </w:rPr>
              <w:t>3、界址调查与测量：界址调查、界址点测量、界址线放样。</w:t>
            </w:r>
          </w:p>
          <w:p>
            <w:pPr>
              <w:pStyle w:val="null3"/>
              <w:jc w:val="left"/>
            </w:pPr>
            <w:r>
              <w:rPr>
                <w:rFonts w:ascii="仿宋_GB2312" w:hAnsi="仿宋_GB2312" w:cs="仿宋_GB2312" w:eastAsia="仿宋_GB2312"/>
                <w:sz w:val="24"/>
              </w:rPr>
              <w:t>4、地类调查与面积量算：地类调查、面积量算。</w:t>
            </w:r>
          </w:p>
          <w:p>
            <w:pPr>
              <w:pStyle w:val="null3"/>
              <w:jc w:val="left"/>
            </w:pPr>
            <w:r>
              <w:rPr>
                <w:rFonts w:ascii="仿宋_GB2312" w:hAnsi="仿宋_GB2312" w:cs="仿宋_GB2312" w:eastAsia="仿宋_GB2312"/>
                <w:sz w:val="24"/>
              </w:rPr>
              <w:t>5、成果编制与提交：成果编制、成果审核与修改。</w:t>
            </w:r>
          </w:p>
          <w:p>
            <w:pPr>
              <w:pStyle w:val="null3"/>
              <w:jc w:val="left"/>
            </w:pPr>
            <w:r>
              <w:rPr>
                <w:rFonts w:ascii="仿宋_GB2312" w:hAnsi="仿宋_GB2312" w:cs="仿宋_GB2312" w:eastAsia="仿宋_GB2312"/>
                <w:sz w:val="24"/>
                <w:b/>
              </w:rPr>
              <w:t>（二）</w:t>
            </w:r>
            <w:r>
              <w:rPr>
                <w:rFonts w:ascii="仿宋_GB2312" w:hAnsi="仿宋_GB2312" w:cs="仿宋_GB2312" w:eastAsia="仿宋_GB2312"/>
                <w:sz w:val="24"/>
                <w:b/>
              </w:rPr>
              <w:t>建设用地（报批）工作内容：</w:t>
            </w:r>
          </w:p>
          <w:p>
            <w:pPr>
              <w:pStyle w:val="null3"/>
              <w:ind w:firstLine="480"/>
              <w:jc w:val="both"/>
            </w:pPr>
            <w:r>
              <w:rPr>
                <w:rFonts w:ascii="仿宋_GB2312" w:hAnsi="仿宋_GB2312" w:cs="仿宋_GB2312" w:eastAsia="仿宋_GB2312"/>
                <w:sz w:val="24"/>
              </w:rPr>
              <w:t>1、检查收储中心提供的土地征收材料；</w:t>
            </w:r>
          </w:p>
          <w:p>
            <w:pPr>
              <w:pStyle w:val="null3"/>
              <w:ind w:firstLine="480"/>
              <w:jc w:val="both"/>
            </w:pPr>
            <w:r>
              <w:rPr>
                <w:rFonts w:ascii="仿宋_GB2312" w:hAnsi="仿宋_GB2312" w:cs="仿宋_GB2312" w:eastAsia="仿宋_GB2312"/>
                <w:sz w:val="24"/>
              </w:rPr>
              <w:t>2、征询农、林、水、环、秦巴办、自然资源局是否涉及占用各类自然保护地等意见，并取得各部门回函；</w:t>
            </w:r>
          </w:p>
          <w:p>
            <w:pPr>
              <w:pStyle w:val="null3"/>
              <w:ind w:firstLine="480"/>
              <w:jc w:val="both"/>
            </w:pPr>
            <w:r>
              <w:rPr>
                <w:rFonts w:ascii="仿宋_GB2312" w:hAnsi="仿宋_GB2312" w:cs="仿宋_GB2312" w:eastAsia="仿宋_GB2312"/>
                <w:sz w:val="24"/>
              </w:rPr>
              <w:t>3、收集检查建设单位提供项目报批前置资料（预审和选址意见书，可研批准、核准或备案文件，节约专章纳入可研或项目申请的证明材料，初步设计批复，建设项目环境保护批准文件，建设项目压覆矿产的批准文件，文物批复，地震批复，水土保持批复，地灾报告及备案等文件）；</w:t>
            </w:r>
          </w:p>
          <w:p>
            <w:pPr>
              <w:pStyle w:val="null3"/>
              <w:ind w:firstLine="480"/>
              <w:jc w:val="both"/>
            </w:pPr>
            <w:r>
              <w:rPr>
                <w:rFonts w:ascii="仿宋_GB2312" w:hAnsi="仿宋_GB2312" w:cs="仿宋_GB2312" w:eastAsia="仿宋_GB2312"/>
                <w:sz w:val="24"/>
              </w:rPr>
              <w:t>4、配合县局编制资料（市（区）、县（市、区）自然资源主管部门经当地人民政府同意的用地请示文件、建设用地分类面积表、县（市、区）人民政府关于申请项目土地征收的请示、建设用地审查情况表、一表一方案（建设用地审查报批地类认定基础数据表、农用地转用方案）、当地人民政府出具的土地权属情况证明及权属汇总表，村上权属证明、耕地占补平衡情况说明、地类回退的说明等文件和做土地利用现状图、规划图、三区三线图等图件）；</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、出文组件，上传用途管制监管系统；</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、上报市局，跟进耕地保护和用途管制科、空间规划科、开发利用科、调查监测科、确权登记科、政策法规科、执法监察支队、复垦中心、生态修复科、矿产资源科会签审查；</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、上报省厅，跟进用途管制处、规划局、执法局、耕保处、利用处、地籍监察处、矿保处、不动产登记、修复处、勘查处共</w:t>
            </w:r>
            <w:r>
              <w:rPr>
                <w:rFonts w:ascii="仿宋_GB2312" w:hAnsi="仿宋_GB2312" w:cs="仿宋_GB2312" w:eastAsia="仿宋_GB2312"/>
                <w:sz w:val="24"/>
              </w:rPr>
              <w:t>10个处室审查会签，根据会签意见进行补正完善；</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、跟进省政府下发用地批复意见。</w:t>
            </w:r>
          </w:p>
          <w:p>
            <w:pPr>
              <w:pStyle w:val="null3"/>
              <w:jc w:val="left"/>
            </w:pP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、技术要求（包括但不限于）</w:t>
            </w:r>
          </w:p>
          <w:p>
            <w:pPr>
              <w:pStyle w:val="null3"/>
              <w:ind w:firstLine="480"/>
              <w:jc w:val="both"/>
            </w:pPr>
            <w:r>
              <w:rPr>
                <w:rFonts w:ascii="仿宋_GB2312" w:hAnsi="仿宋_GB2312" w:cs="仿宋_GB2312" w:eastAsia="仿宋_GB2312"/>
                <w:sz w:val="24"/>
              </w:rPr>
              <w:t>1、《中华人民共和国土地管理法》；</w:t>
            </w:r>
          </w:p>
          <w:p>
            <w:pPr>
              <w:pStyle w:val="null3"/>
              <w:ind w:firstLine="480"/>
              <w:jc w:val="both"/>
            </w:pPr>
            <w:r>
              <w:rPr>
                <w:rFonts w:ascii="仿宋_GB2312" w:hAnsi="仿宋_GB2312" w:cs="仿宋_GB2312" w:eastAsia="仿宋_GB2312"/>
                <w:sz w:val="24"/>
              </w:rPr>
              <w:t>2、《中华人民共和国土地管理法实施条例》；</w:t>
            </w:r>
          </w:p>
          <w:p>
            <w:pPr>
              <w:pStyle w:val="null3"/>
              <w:ind w:firstLine="480"/>
              <w:jc w:val="both"/>
            </w:pPr>
            <w:r>
              <w:rPr>
                <w:rFonts w:ascii="仿宋_GB2312" w:hAnsi="仿宋_GB2312" w:cs="仿宋_GB2312" w:eastAsia="仿宋_GB2312"/>
                <w:sz w:val="24"/>
              </w:rPr>
              <w:t>3、国土资源部关于修改《建设用地审查报批管理办法》的决定(2016年国土部第69号令)；</w:t>
            </w:r>
          </w:p>
          <w:p>
            <w:pPr>
              <w:pStyle w:val="null3"/>
              <w:ind w:firstLine="480"/>
              <w:jc w:val="both"/>
            </w:pPr>
            <w:r>
              <w:rPr>
                <w:rFonts w:ascii="仿宋_GB2312" w:hAnsi="仿宋_GB2312" w:cs="仿宋_GB2312" w:eastAsia="仿宋_GB2312"/>
                <w:sz w:val="24"/>
              </w:rPr>
              <w:t>4、陕西省白然资源厅办公室关于进一步规范建设用地组件报批文本格式的通知（陕自然资办发〔2025〕229号）；</w:t>
            </w:r>
          </w:p>
          <w:p>
            <w:pPr>
              <w:pStyle w:val="null3"/>
              <w:ind w:firstLine="480"/>
              <w:jc w:val="both"/>
            </w:pPr>
            <w:r>
              <w:rPr>
                <w:rFonts w:ascii="仿宋_GB2312" w:hAnsi="仿宋_GB2312" w:cs="仿宋_GB2312" w:eastAsia="仿宋_GB2312"/>
                <w:sz w:val="24"/>
              </w:rPr>
              <w:t>5、《土地勘测定界规程》(TD/T1008-2007)；</w:t>
            </w:r>
          </w:p>
          <w:p>
            <w:pPr>
              <w:pStyle w:val="null3"/>
              <w:ind w:firstLine="480"/>
              <w:jc w:val="both"/>
            </w:pPr>
            <w:r>
              <w:rPr>
                <w:rFonts w:ascii="仿宋_GB2312" w:hAnsi="仿宋_GB2312" w:cs="仿宋_GB2312" w:eastAsia="仿宋_GB2312"/>
                <w:sz w:val="24"/>
              </w:rPr>
              <w:t>6、《土地利用现状分类》(GB/T21010-2017)；</w:t>
            </w:r>
          </w:p>
          <w:p>
            <w:pPr>
              <w:pStyle w:val="null3"/>
              <w:ind w:firstLine="480"/>
              <w:jc w:val="both"/>
            </w:pPr>
            <w:r>
              <w:rPr>
                <w:rFonts w:ascii="仿宋_GB2312" w:hAnsi="仿宋_GB2312" w:cs="仿宋_GB2312" w:eastAsia="仿宋_GB2312"/>
                <w:sz w:val="24"/>
              </w:rPr>
              <w:t>7、《第三次全国国土调查技术规程》(TD/T 1055-2019)；</w:t>
            </w:r>
          </w:p>
          <w:p>
            <w:pPr>
              <w:pStyle w:val="null3"/>
              <w:jc w:val="both"/>
            </w:pPr>
            <w:r>
              <w:rPr>
                <w:rFonts w:ascii="仿宋_GB2312" w:hAnsi="仿宋_GB2312" w:cs="仿宋_GB2312" w:eastAsia="仿宋_GB2312"/>
                <w:sz w:val="24"/>
                <w:b/>
              </w:rPr>
              <w:t>四、</w:t>
            </w:r>
            <w:r>
              <w:rPr>
                <w:rFonts w:ascii="仿宋_GB2312" w:hAnsi="仿宋_GB2312" w:cs="仿宋_GB2312" w:eastAsia="仿宋_GB2312"/>
                <w:sz w:val="24"/>
                <w:b/>
              </w:rPr>
              <w:t>成果要求</w:t>
            </w:r>
          </w:p>
          <w:p>
            <w:pPr>
              <w:pStyle w:val="null3"/>
              <w:ind w:firstLine="480"/>
              <w:jc w:val="both"/>
            </w:pPr>
            <w:r>
              <w:rPr>
                <w:rFonts w:ascii="仿宋_GB2312" w:hAnsi="仿宋_GB2312" w:cs="仿宋_GB2312" w:eastAsia="仿宋_GB2312"/>
                <w:sz w:val="24"/>
              </w:rPr>
              <w:t>成果交付要求：（</w:t>
            </w:r>
            <w:r>
              <w:rPr>
                <w:rFonts w:ascii="仿宋_GB2312" w:hAnsi="仿宋_GB2312" w:cs="仿宋_GB2312" w:eastAsia="仿宋_GB2312"/>
                <w:sz w:val="24"/>
              </w:rPr>
              <w:t>1）完成勘测定界报告编制，并取得主管部门验收意见表；（2）完成用地报批资料收集、组件、上传系统、完成县市省三级会签，最终取得省政府关于项目用地的批复文件。</w:t>
            </w:r>
          </w:p>
          <w:p>
            <w:pPr>
              <w:pStyle w:val="null3"/>
              <w:jc w:val="both"/>
            </w:pPr>
            <w:r>
              <w:rPr>
                <w:rFonts w:ascii="仿宋_GB2312" w:hAnsi="仿宋_GB2312" w:cs="仿宋_GB2312" w:eastAsia="仿宋_GB2312"/>
                <w:sz w:val="24"/>
                <w:b/>
              </w:rPr>
              <w:t>五、</w:t>
            </w:r>
            <w:r>
              <w:rPr>
                <w:rFonts w:ascii="仿宋_GB2312" w:hAnsi="仿宋_GB2312" w:cs="仿宋_GB2312" w:eastAsia="仿宋_GB2312"/>
                <w:sz w:val="24"/>
                <w:b/>
              </w:rPr>
              <w:t>服务期限</w:t>
            </w:r>
          </w:p>
          <w:p>
            <w:pPr>
              <w:pStyle w:val="null3"/>
              <w:ind w:firstLine="480"/>
              <w:jc w:val="both"/>
            </w:pPr>
            <w:r>
              <w:rPr>
                <w:rFonts w:ascii="仿宋_GB2312" w:hAnsi="仿宋_GB2312" w:cs="仿宋_GB2312" w:eastAsia="仿宋_GB2312"/>
                <w:sz w:val="24"/>
              </w:rPr>
              <w:t>合同签订后</w:t>
            </w:r>
            <w:r>
              <w:rPr>
                <w:rFonts w:ascii="仿宋_GB2312" w:hAnsi="仿宋_GB2312" w:cs="仿宋_GB2312" w:eastAsia="仿宋_GB2312"/>
                <w:sz w:val="24"/>
              </w:rPr>
              <w:t>180天</w:t>
            </w:r>
            <w:r>
              <w:rPr>
                <w:rFonts w:ascii="仿宋_GB2312" w:hAnsi="仿宋_GB2312" w:cs="仿宋_GB2312" w:eastAsia="仿宋_GB2312"/>
                <w:sz w:val="24"/>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合同签订后180天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符合国家相关规范、标准及要求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成果提交后，协助采购人取得上级主管部门批复文件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甲乙双方在合同履行中发生争议，应通过协商解决。如协商不成，可以向甲方所在地有管辖权的人民法院提起诉讼。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供应商为具有独立承担民事责任能力的企业法人、事业法人、其他组织，提供营业执照（事业单位须事业单位法人证、组织机构代码证等证明文件；其他组织应提供合法证明文件）；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法定代表人或委托代理人身份证明</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供应商须具备国家行政主管部门颁发的土地规划乙级（含乙级）及以上和测绘乙级（含乙级）及以上资质；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良好的商业信誉和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按磋商文件格式要求加盖了供应商公章和有法定代表人（或单位负责人）或其授权代表签字或加盖人名章</w:t>
            </w:r>
          </w:p>
        </w:tc>
        <w:tc>
          <w:tcPr>
            <w:tcW w:type="dxa" w:w="1661"/>
          </w:tcPr>
          <w:p>
            <w:pPr>
              <w:pStyle w:val="null3"/>
            </w:pPr>
            <w:r>
              <w:rPr>
                <w:rFonts w:ascii="仿宋_GB2312" w:hAnsi="仿宋_GB2312" w:cs="仿宋_GB2312" w:eastAsia="仿宋_GB2312"/>
              </w:rPr>
              <w:t>技术服务方案.docx 服务内容及服务邀请应答表 中小企业声明函 项目团队.docx 商务应答表 供应商类似业绩.docx 报价表 响应文件封面 供应商应提交的相关资格证明材料.docx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技术服务方案.docx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投标人应根据本项目的实际情况，提出切合实际有针对性的服务方案，服务方案应包括但不限于方案编制、对突发事件的应急预案等。 （1）服务方案内容全面详细，针对性强，能完全满足本项目采购要求的计13.1-20分； （2）服务方案内容基本全面详细，基本满足本项目需求的计 6.1-13分； （3）项目实施方案内容有缺陷，不能完全满足本项目需求的计1-6分。 （3）未进行描述的本项不得分。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成果文件应满足本项目服务内容，工作安排与质量保证措施要求详尽、质量控制程序规范，且针对本项目提供质量保证承诺。 （1）措施编制科学合理、完善详尽，可行性强的计 10.1-15 分； （2）措施编制基本合理、基本可行的计 5.1-10 分； （3）措施编制存在部分缺陷和不足的计 1-5 分； （4）未进行描述的本项不得分。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进度计划和服务周期目标</w:t>
            </w:r>
          </w:p>
        </w:tc>
        <w:tc>
          <w:tcPr>
            <w:tcW w:type="dxa" w:w="2492"/>
          </w:tcPr>
          <w:p>
            <w:pPr>
              <w:pStyle w:val="null3"/>
            </w:pPr>
            <w:r>
              <w:rPr>
                <w:rFonts w:ascii="仿宋_GB2312" w:hAnsi="仿宋_GB2312" w:cs="仿宋_GB2312" w:eastAsia="仿宋_GB2312"/>
              </w:rPr>
              <w:t>提供合理、可行的项目进度计划，要求进度计划满足采购人提出的项目进度要求，且节点清晰，控制措施合理。 （1）措施编制科学合理、完善详尽，可行性强的计 10.1-15 分； （2）措施编制基本合理可行的计 5.1-10 分； （3）措施编制存在部分缺陷和不足的计 1-5 分； （4）未进行描述的本项不得分。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重点及难点的分析以及拟采用的解决方案</w:t>
            </w:r>
          </w:p>
        </w:tc>
        <w:tc>
          <w:tcPr>
            <w:tcW w:type="dxa" w:w="2492"/>
          </w:tcPr>
          <w:p>
            <w:pPr>
              <w:pStyle w:val="null3"/>
            </w:pPr>
            <w:r>
              <w:rPr>
                <w:rFonts w:ascii="仿宋_GB2312" w:hAnsi="仿宋_GB2312" w:cs="仿宋_GB2312" w:eastAsia="仿宋_GB2312"/>
              </w:rPr>
              <w:t>对本项目工作重点及难点的分析以及拟采用的解决方案和合理化建议，横向比较，进行赋分。 （1）分析及建议方案合理可行，有针对性，符合项目需求，得 7.1-10 分； （2）分析及建议方案粗略可操作性一般，得 4.1-7 分； （3）分析及建议方案粗略可操作性不足，得 1-4 分； （4）未进行描述的本项不得分。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后期服务配合计划</w:t>
            </w:r>
          </w:p>
        </w:tc>
        <w:tc>
          <w:tcPr>
            <w:tcW w:type="dxa" w:w="2492"/>
          </w:tcPr>
          <w:p>
            <w:pPr>
              <w:pStyle w:val="null3"/>
            </w:pPr>
            <w:r>
              <w:rPr>
                <w:rFonts w:ascii="仿宋_GB2312" w:hAnsi="仿宋_GB2312" w:cs="仿宋_GB2312" w:eastAsia="仿宋_GB2312"/>
              </w:rPr>
              <w:t>后期服务配合计划完备、可行性强，能满足采购人要求，保证随叫随到，为采购人提供相关技术咨询、优化建议等措施。配合采购人提供相应的成果及相关材料。 （1）后期服务配合计划完备、可行性强、可操作性强、细节描述详细且响应及时的计 5.1-10 分； （2）后期服务配合计划完备、细节描述存在不足且响应不及时的 1-5分； （3）未进行描述的本项不得分。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根据采购文件要求对本次服务做出相应承诺。 （1）完全满足项目要求，且提出更优化的服务目标5.1-8分； （2）基本满足项目要求，且提出更优化的服务目标3.1-5分； （3）基本满足项目要求，未提出其他服务目标1-3分； （4）未进行描述的本项不得分。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供应商提供2023年1月1日以来（以合同签订时间为准）的类似项目业绩，每提供一个业绩得2分，最多得4分。（提供合同或中标通知书复印件）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供应商类似业绩.docx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根据供应商的团队人员配备情况进行评审： 1. 项目负责人具有相关专业高级工程师得 4 分，具有相关专业中级工程师职称得 2 分； 2. 拟派项目团队人员（不含项目负责人）：具有相关专业初级及以上工程师职称，每提供1人得2分，最高4分。 备注：须提供身份证、职称证书。</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满足磋商文件要求且最后各家最终磋商价格的最低值为评标基准价，其价格分为满分。 磋商报价得分=（评审基准价／磋商二次报价）×价格权值×100。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详见附件：技术服务方案.docx</w:t>
      </w:r>
    </w:p>
    <w:p>
      <w:pPr>
        <w:pStyle w:val="null3"/>
        <w:ind w:firstLine="960"/>
      </w:pPr>
      <w:r>
        <w:rPr>
          <w:rFonts w:ascii="仿宋_GB2312" w:hAnsi="仿宋_GB2312" w:cs="仿宋_GB2312" w:eastAsia="仿宋_GB2312"/>
        </w:rPr>
        <w:t>详见附件：项目团队.docx</w:t>
      </w:r>
    </w:p>
    <w:p>
      <w:pPr>
        <w:pStyle w:val="null3"/>
        <w:ind w:firstLine="960"/>
      </w:pPr>
      <w:r>
        <w:rPr>
          <w:rFonts w:ascii="仿宋_GB2312" w:hAnsi="仿宋_GB2312" w:cs="仿宋_GB2312" w:eastAsia="仿宋_GB2312"/>
        </w:rPr>
        <w:t>详见附件：供应商类似业绩.docx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详见附件：合同条款及合同文件格式.docx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