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版本号：ZC2026-FW-02620260128002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三合镇至马道镇（城固段）公路工程使用林草地可行性研究报告技术服务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ZC2026-FW-026</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三合镇至马道镇（城固段）公路工程使用林草地可行性研究报告技术服务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ZC2026-FW-026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三合镇至马道镇（城固段）公路工程使用林草地可行性研究报告技术服务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对三合镇至马道镇（城固段）公路工程使用林草地可行性研究报告编制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采购包1（三合镇至马道镇（城固段）公路工程使用林草地可行性研究报告技术服务）：属于专门面向中小企业采购。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3、供应商资质：供应商须具备有效期内的林业调查规划设计丙级及以上资质。</w:t>
      </w:r>
    </w:p>
    <w:p>
      <w:pPr>
        <w:pStyle w:val="null3"/>
      </w:pPr>
      <w:r>
        <w:rPr>
          <w:rFonts w:ascii="仿宋_GB2312" w:hAnsi="仿宋_GB2312" w:cs="仿宋_GB2312" w:eastAsia="仿宋_GB2312"/>
        </w:rPr>
        <w:t>4、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5、联合体：本项目不接受联合体投标。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18189275352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开户名称：陕西中采项目管理有限公司汉中分公司</w:t>
            </w:r>
          </w:p>
          <w:p>
            <w:pPr>
              <w:pStyle w:val="null3"/>
            </w:pPr>
            <w:r>
              <w:rPr>
                <w:rFonts w:ascii="仿宋_GB2312" w:hAnsi="仿宋_GB2312" w:cs="仿宋_GB2312" w:eastAsia="仿宋_GB2312"/>
              </w:rPr>
              <w:t>开户银行：中国建设银行股份有限公司汉中南一环路支行</w:t>
            </w:r>
          </w:p>
          <w:p>
            <w:pPr>
              <w:pStyle w:val="null3"/>
            </w:pPr>
            <w:r>
              <w:rPr>
                <w:rFonts w:ascii="仿宋_GB2312" w:hAnsi="仿宋_GB2312" w:cs="仿宋_GB2312" w:eastAsia="仿宋_GB2312"/>
              </w:rPr>
              <w:t>银行账号：61050111271100000162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联系电话：18189275352</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对三合镇至马道镇（城固段）公路工程使用林草地可行性研究报告编制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三合镇至马道镇（城固段）公路工程使用林草地可行性研究报告技术服务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标的名称：三合镇至马道镇（城固段）公路工程使用林草地可行性研究报告技术服务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一、服务内容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对建设用地开展《永久使用林地可行性报告》编制、《永久使用草地可行性报告》编制、《永久使用林地采伐作业设计报告》编制、《临时使用林地可行性报告》编制、《临时使用林地植被恢复方案》编制及《使用林地采伐作业设计报告》编制工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、协助完善林、草地手续，为土地报征和项目建设手续办理提供前置条件。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、协助作好县、市、省及各级林业主管部门的协调工作。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、协调完成评价报告的专家评审等工作。</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、配合相关单位指派的专家考察组进行现场考察，并负责做好解释说明。</w:t>
            </w:r>
          </w:p>
          <w:p>
            <w:pPr>
              <w:pStyle w:val="null3"/>
              <w:jc w:val="both"/>
            </w:pPr>
            <w:r>
              <w:rPr>
                <w:rFonts w:ascii="仿宋_GB2312" w:hAnsi="仿宋_GB2312" w:cs="仿宋_GB2312" w:eastAsia="仿宋_GB2312"/>
                <w:sz w:val="24"/>
                <w:b/>
              </w:rPr>
              <w:t>二、服务要求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、编制单位必须遵循职业道德独立性、客观性、科学性、公正性原则，依法开展相关工作。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、编制单位在服务期内必须检查提交资料的完整性、合规性，以便提供的成果的完整和准确。如出现重大漏项和误差时，编制单位须承担由此带来的责任和损失。</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、技术要求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）成果文件以《中华人民共和国森林法》、《中华人民共和国草原法》、 《建设项目使用林地审核审批管理办法》、《建设项目使用林地可行性报告编制规范》及其他相关要求为编制依据。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）成果文件应严格遵守国家有关林、草业生态政策法规、技术标准和规程、 规范，各项建议及技术措施切实可行，报告应具有客观性、公正性和科学性。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）成果文件深度应满足相应阶段的有关规定要求</w:t>
            </w:r>
            <w:r>
              <w:rPr>
                <w:rFonts w:ascii="仿宋_GB2312" w:hAnsi="仿宋_GB2312" w:cs="仿宋_GB2312" w:eastAsia="仿宋_GB2312"/>
                <w:sz w:val="24"/>
              </w:rPr>
              <w:t>,</w:t>
            </w:r>
            <w:r>
              <w:rPr>
                <w:rFonts w:ascii="仿宋_GB2312" w:hAnsi="仿宋_GB2312" w:cs="仿宋_GB2312" w:eastAsia="仿宋_GB2312"/>
                <w:sz w:val="24"/>
              </w:rPr>
              <w:t>并符合相关规范的要求，本着以节约用地、降低费用等原则编制，作为行政主管部门审核使用林、草地的依据。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）在工作服务过程中</w:t>
            </w:r>
            <w:r>
              <w:rPr>
                <w:rFonts w:ascii="仿宋_GB2312" w:hAnsi="仿宋_GB2312" w:cs="仿宋_GB2312" w:eastAsia="仿宋_GB2312"/>
                <w:sz w:val="24"/>
              </w:rPr>
              <w:t>,</w:t>
            </w:r>
            <w:r>
              <w:rPr>
                <w:rFonts w:ascii="仿宋_GB2312" w:hAnsi="仿宋_GB2312" w:cs="仿宋_GB2312" w:eastAsia="仿宋_GB2312"/>
                <w:sz w:val="24"/>
              </w:rPr>
              <w:t>如果国家或有关部门颁布了新的技术标准或规范，编制单位则应采用新的标准或规范。</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、成果文件要求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）编制单位需提供完整的纸质版资料和电子版资料，电子版资料符合</w:t>
            </w:r>
            <w:r>
              <w:rPr>
                <w:rFonts w:ascii="仿宋_GB2312" w:hAnsi="仿宋_GB2312" w:cs="仿宋_GB2312" w:eastAsia="仿宋_GB2312"/>
                <w:sz w:val="24"/>
              </w:rPr>
              <w:t>Microsoft Office</w:t>
            </w:r>
            <w:r>
              <w:rPr>
                <w:rFonts w:ascii="仿宋_GB2312" w:hAnsi="仿宋_GB2312" w:cs="仿宋_GB2312" w:eastAsia="仿宋_GB2312"/>
                <w:sz w:val="24"/>
              </w:rPr>
              <w:t xml:space="preserve">系统存储格式的文字、表格、图片等全部报告的 </w:t>
            </w:r>
            <w:r>
              <w:rPr>
                <w:rFonts w:ascii="仿宋_GB2312" w:hAnsi="仿宋_GB2312" w:cs="仿宋_GB2312" w:eastAsia="仿宋_GB2312"/>
                <w:sz w:val="24"/>
              </w:rPr>
              <w:t xml:space="preserve">U </w:t>
            </w:r>
            <w:r>
              <w:rPr>
                <w:rFonts w:ascii="仿宋_GB2312" w:hAnsi="仿宋_GB2312" w:cs="仿宋_GB2312" w:eastAsia="仿宋_GB2312"/>
                <w:sz w:val="24"/>
              </w:rPr>
              <w:t>盘存储资料，并应与提供的纸质版文稿资料相对应。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）成果文件应通过评审和批准</w:t>
            </w:r>
            <w:r>
              <w:rPr>
                <w:rFonts w:ascii="仿宋_GB2312" w:hAnsi="仿宋_GB2312" w:cs="仿宋_GB2312" w:eastAsia="仿宋_GB2312"/>
                <w:sz w:val="24"/>
              </w:rPr>
              <w:t>,</w:t>
            </w:r>
            <w:r>
              <w:rPr>
                <w:rFonts w:ascii="仿宋_GB2312" w:hAnsi="仿宋_GB2312" w:cs="仿宋_GB2312" w:eastAsia="仿宋_GB2312"/>
                <w:sz w:val="24"/>
              </w:rPr>
              <w:t>如不能通过</w:t>
            </w:r>
            <w:r>
              <w:rPr>
                <w:rFonts w:ascii="仿宋_GB2312" w:hAnsi="仿宋_GB2312" w:cs="仿宋_GB2312" w:eastAsia="仿宋_GB2312"/>
                <w:sz w:val="24"/>
              </w:rPr>
              <w:t>,</w:t>
            </w:r>
            <w:r>
              <w:rPr>
                <w:rFonts w:ascii="仿宋_GB2312" w:hAnsi="仿宋_GB2312" w:cs="仿宋_GB2312" w:eastAsia="仿宋_GB2312"/>
                <w:sz w:val="24"/>
              </w:rPr>
              <w:t>编制单位应负责修改、补充完善直至通过评审和批准。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）编制单位应保证所提供的服务或其任何一部分均不会侵犯任何第三方的专利权、商标权或著作权。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）成果文件：三合镇至马道镇（城固段）公路工程使用林草地可行性研究报告成果。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成果提交后，协助采购人取得上级主管部门批复文件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供应商须具备有效期内的林业调查规划设计丙级及以上资质。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 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项目理解内容包括但不限于：①本项目的理解；②对国家相关领域政策、标准的掌握；③项目关键点的分析和控制策略。 评审标准：满分9分，每有一项内容缺失扣3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整体服务方案内容包括但不限于：①服务总体设想及目标；②总体实施方案；③成果管理及保密措施；④重点、难点分析；⑤确保项目实施过程中配合、协调管理措施。 评审标准：满分30分，每有一项内容缺失扣6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项目进度措施</w:t>
            </w:r>
          </w:p>
        </w:tc>
        <w:tc>
          <w:tcPr>
            <w:tcW w:type="dxa" w:w="2492"/>
          </w:tcPr>
          <w:p>
            <w:pPr>
              <w:pStyle w:val="null3"/>
            </w:pPr>
            <w:r>
              <w:rPr>
                <w:rFonts w:ascii="仿宋_GB2312" w:hAnsi="仿宋_GB2312" w:cs="仿宋_GB2312" w:eastAsia="仿宋_GB2312"/>
              </w:rPr>
              <w:t>项目实施进度计划内容内容包括但不限于：①成果交付进度控制方案；②服务期进度控制方案； 评审标准：满分10分，每有一项内容缺失扣 5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质量保证措施内容包括但不限于：①质量保证措施②质量控制措施③安全保证措施。 评审标准：满分15分，每有一项内容缺失扣 5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成果管理</w:t>
            </w:r>
          </w:p>
        </w:tc>
        <w:tc>
          <w:tcPr>
            <w:tcW w:type="dxa" w:w="2492"/>
          </w:tcPr>
          <w:p>
            <w:pPr>
              <w:pStyle w:val="null3"/>
            </w:pPr>
            <w:r>
              <w:rPr>
                <w:rFonts w:ascii="仿宋_GB2312" w:hAnsi="仿宋_GB2312" w:cs="仿宋_GB2312" w:eastAsia="仿宋_GB2312"/>
              </w:rPr>
              <w:t>成果管理内容包括但不限于：①提供成果管理方法；②提供成果借阅制度；③提供成果归档制度；④提供成果资料安全管理制度； 评审标准：满分12分，每有一项内容缺失扣3 分，每有一项存在缺陷扣 1 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项目团队人员配置</w:t>
            </w:r>
          </w:p>
        </w:tc>
        <w:tc>
          <w:tcPr>
            <w:tcW w:type="dxa" w:w="2492"/>
          </w:tcPr>
          <w:p>
            <w:pPr>
              <w:pStyle w:val="null3"/>
            </w:pPr>
            <w:r>
              <w:rPr>
                <w:rFonts w:ascii="仿宋_GB2312" w:hAnsi="仿宋_GB2312" w:cs="仿宋_GB2312" w:eastAsia="仿宋_GB2312"/>
              </w:rPr>
              <w:t>人员配置内容包括但不限于：①人员的配备及岗位设置；②人员管理制度；③人员专业能力保障与履职管理要求； 评审标准：满分9分，每有一项内容缺失扣 3 分，每有一项存在缺陷扣 1 分，扣完为止。内容缺陷是指：非专门针对本项目或不适用项目特性的情形、内容不完整、内容前后矛盾、涉及的规范或标准错误、不可能实现的情形等任意一种情形。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供应商提供2023年1月1日以来（以合同签订时间为准）的类似项目业绩，每提供一个业绩得2.5分，最多得5分。（提供合同或中标通知书复印件）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详见附件：供应商类似业绩.docx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