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版本号：YSY2026-CG-00420260127001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G316城固汉江特大桥及引线工程生态保护红线论证报告、节约集约用地论证、建设用地预审、选址论证报告等技术服务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YSY2026-CG-004</w:t>
      </w:r>
      <w:r>
        <w:br/>
      </w:r>
      <w:r>
        <w:br/>
      </w:r>
      <w:r>
        <w:br/>
      </w:r>
    </w:p>
    <w:p>
      <w:pPr>
        <w:pStyle w:val="null3"/>
        <w:jc w:val="center"/>
        <w:outlineLvl w:val="2"/>
      </w:pPr>
      <w:r>
        <w:rPr>
          <w:rFonts w:ascii="仿宋_GB2312" w:hAnsi="仿宋_GB2312" w:cs="仿宋_GB2312" w:eastAsia="仿宋_GB2312"/>
          <w:sz w:val="28"/>
          <w:b/>
        </w:rPr>
        <w:t>城固县交通运输局</w:t>
      </w:r>
    </w:p>
    <w:p>
      <w:pPr>
        <w:pStyle w:val="null3"/>
        <w:jc w:val="center"/>
        <w:outlineLvl w:val="2"/>
      </w:pPr>
      <w:r>
        <w:rPr>
          <w:rFonts w:ascii="仿宋_GB2312" w:hAnsi="仿宋_GB2312" w:cs="仿宋_GB2312" w:eastAsia="仿宋_GB2312"/>
          <w:sz w:val="28"/>
          <w:b/>
        </w:rPr>
        <w:t>陕西亿胜元项目管理有限公司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陕西亿胜元项目管理有限公司</w:t>
      </w:r>
      <w:r>
        <w:rPr>
          <w:rFonts w:ascii="仿宋_GB2312" w:hAnsi="仿宋_GB2312" w:cs="仿宋_GB2312" w:eastAsia="仿宋_GB2312"/>
        </w:rPr>
        <w:t>（以下简称“代理机构”）受</w:t>
      </w:r>
      <w:r>
        <w:rPr>
          <w:rFonts w:ascii="仿宋_GB2312" w:hAnsi="仿宋_GB2312" w:cs="仿宋_GB2312" w:eastAsia="仿宋_GB2312"/>
        </w:rPr>
        <w:t>城固县交通运输局</w:t>
      </w:r>
      <w:r>
        <w:rPr>
          <w:rFonts w:ascii="仿宋_GB2312" w:hAnsi="仿宋_GB2312" w:cs="仿宋_GB2312" w:eastAsia="仿宋_GB2312"/>
        </w:rPr>
        <w:t>委托，拟对</w:t>
      </w:r>
      <w:r>
        <w:rPr>
          <w:rFonts w:ascii="仿宋_GB2312" w:hAnsi="仿宋_GB2312" w:cs="仿宋_GB2312" w:eastAsia="仿宋_GB2312"/>
        </w:rPr>
        <w:t>G316城固汉江特大桥及引线工程生态保护红线论证报告、节约集约用地论证、建设用地预审、选址论证报告等技术服务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YSY2026-CG-004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G316城固汉江特大桥及引线工程生态保护红线论证报告、节约集约用地论证、建设用地预审、选址论证报告等技术服务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对G316城固汉江特大桥及引线工程生态保护红线论证报告、节约集约用地论证、建设用地预审、选址论证报告进行编制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采购包1（G316城固汉江特大桥及引线工程生态保护红线论证报告、节约集约用地论证、建设用地预审、选址论证报告等技术服务）：属于专门面向中小企业采购。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或委托代理人身份证明：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3、供应商资质：供应商须具备国家行政主管部门颁发的土地规划乙级（含乙级）及以上或测绘乙级（含乙级）及以上资质；</w:t>
      </w:r>
    </w:p>
    <w:p>
      <w:pPr>
        <w:pStyle w:val="null3"/>
      </w:pPr>
      <w:r>
        <w:rPr>
          <w:rFonts w:ascii="仿宋_GB2312" w:hAnsi="仿宋_GB2312" w:cs="仿宋_GB2312" w:eastAsia="仿宋_GB2312"/>
        </w:rPr>
        <w:t>4、汉中市政府采购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5、联合体：本项目不接受联合体投标；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城固县西环一路中段15号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0916-7212904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陕西亿胜元项目管理有限公司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陕西省汉中市汉台区东一环与风景路交汇处中饮办公中心C区-8F</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龚工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0916-2102199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开户名称：陕西亿胜元项目管理有限公司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银行账号：102513126064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城固县交通运输局</w:t>
      </w:r>
      <w:r>
        <w:rPr>
          <w:rFonts w:ascii="仿宋_GB2312" w:hAnsi="仿宋_GB2312" w:cs="仿宋_GB2312" w:eastAsia="仿宋_GB2312"/>
        </w:rPr>
        <w:t>和</w:t>
      </w:r>
      <w:r>
        <w:rPr>
          <w:rFonts w:ascii="仿宋_GB2312" w:hAnsi="仿宋_GB2312" w:cs="仿宋_GB2312" w:eastAsia="仿宋_GB2312"/>
        </w:rPr>
        <w:t>陕西亿胜元项目管理有限公司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陕西亿胜元项目管理有限公司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陕西亿胜元项目管理有限公司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根据具体工作内容的相关标准进行验收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联系人：龚工</w:t>
      </w:r>
    </w:p>
    <w:p>
      <w:pPr>
        <w:pStyle w:val="null3"/>
      </w:pPr>
      <w:r>
        <w:rPr>
          <w:rFonts w:ascii="仿宋_GB2312" w:hAnsi="仿宋_GB2312" w:cs="仿宋_GB2312" w:eastAsia="仿宋_GB2312"/>
        </w:rPr>
        <w:t>联系电话：0916-2102199</w:t>
      </w:r>
    </w:p>
    <w:p>
      <w:pPr>
        <w:pStyle w:val="null3"/>
      </w:pPr>
      <w:r>
        <w:rPr>
          <w:rFonts w:ascii="仿宋_GB2312" w:hAnsi="仿宋_GB2312" w:cs="仿宋_GB2312" w:eastAsia="仿宋_GB2312"/>
        </w:rPr>
        <w:t>地址：汉中市汉台区东一环与风景路交汇处中饮办公中心C区-8F</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对G316城固汉江特大桥及引线工程生态保护红线论证报告、节约集约用地论证、建设用地预审、选址论证报告进行编制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G316城固汉江特大桥及引线工程生态保护红线论证报告.节约集约用地论证.建设用地预审.选址论证报告等技术服务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标的名称：G316城固汉江特大桥及引线工程生态保护红线论证报告.节约集约用地论证.建设用地预审.选址论证报告等技术服务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一、服务内容</w:t>
            </w:r>
          </w:p>
          <w:p>
            <w:pPr>
              <w:pStyle w:val="null3"/>
              <w:jc w:val="both"/>
            </w:pPr>
            <w:r>
              <w:rPr>
                <w:rFonts w:ascii="仿宋_GB2312" w:hAnsi="仿宋_GB2312" w:cs="仿宋_GB2312" w:eastAsia="仿宋_GB2312"/>
                <w:sz w:val="24"/>
                <w:b/>
                <w:color w:val="000000"/>
              </w:rPr>
              <w:t>（一）建设用地（预审）工作内容：</w:t>
            </w:r>
          </w:p>
          <w:p>
            <w:pPr>
              <w:pStyle w:val="null3"/>
              <w:jc w:val="both"/>
            </w:pPr>
            <w:r>
              <w:rPr>
                <w:rFonts w:ascii="仿宋_GB2312" w:hAnsi="仿宋_GB2312" w:cs="仿宋_GB2312" w:eastAsia="仿宋_GB2312"/>
                <w:sz w:val="24"/>
                <w:color w:val="000000"/>
              </w:rPr>
              <w:t>1、编制建设用地预审资料文本、图件和表格；</w:t>
            </w:r>
          </w:p>
          <w:p>
            <w:pPr>
              <w:pStyle w:val="null3"/>
              <w:jc w:val="both"/>
            </w:pPr>
            <w:r>
              <w:rPr>
                <w:rFonts w:ascii="仿宋_GB2312" w:hAnsi="仿宋_GB2312" w:cs="仿宋_GB2312" w:eastAsia="仿宋_GB2312"/>
                <w:sz w:val="24"/>
                <w:color w:val="000000"/>
              </w:rPr>
              <w:t>2、配合交通局征询农、林、水、环、秦巴办、自然资源局是否涉及占用各类自然保护地等意见，并取得各部门回函；</w:t>
            </w:r>
          </w:p>
          <w:p>
            <w:pPr>
              <w:pStyle w:val="null3"/>
              <w:jc w:val="both"/>
            </w:pPr>
            <w:r>
              <w:rPr>
                <w:rFonts w:ascii="仿宋_GB2312" w:hAnsi="仿宋_GB2312" w:cs="仿宋_GB2312" w:eastAsia="仿宋_GB2312"/>
                <w:sz w:val="24"/>
                <w:color w:val="000000"/>
              </w:rPr>
              <w:t>3、上报县局审查会签并跟进县局出具审查意见（用途监管系统同步上报）；</w:t>
            </w:r>
          </w:p>
          <w:p>
            <w:pPr>
              <w:pStyle w:val="null3"/>
              <w:jc w:val="both"/>
            </w:pPr>
            <w:r>
              <w:rPr>
                <w:rFonts w:ascii="仿宋_GB2312" w:hAnsi="仿宋_GB2312" w:cs="仿宋_GB2312" w:eastAsia="仿宋_GB2312"/>
                <w:sz w:val="24"/>
                <w:color w:val="000000"/>
              </w:rPr>
              <w:t>4、上报市局空间规划科、耕保科、监测科、利用科、矿管科、地灾监测站、执法科审查会签，配合市局组织项目实地踏勘，跟进市局出具审查意见（用途监管系统同步上报）；</w:t>
            </w:r>
          </w:p>
          <w:p>
            <w:pPr>
              <w:pStyle w:val="null3"/>
              <w:jc w:val="both"/>
            </w:pPr>
            <w:r>
              <w:rPr>
                <w:rFonts w:ascii="仿宋_GB2312" w:hAnsi="仿宋_GB2312" w:cs="仿宋_GB2312" w:eastAsia="仿宋_GB2312"/>
                <w:sz w:val="24"/>
                <w:color w:val="000000"/>
              </w:rPr>
              <w:t>5、上报省厅用途管制处、规划局、执法局、耕保处、利用处、地籍监察处、法规处审查会签，跟进省厅出具预审批复。</w:t>
            </w:r>
          </w:p>
          <w:p>
            <w:pPr>
              <w:pStyle w:val="null3"/>
              <w:jc w:val="both"/>
            </w:pPr>
            <w:r>
              <w:rPr>
                <w:rFonts w:ascii="仿宋_GB2312" w:hAnsi="仿宋_GB2312" w:cs="仿宋_GB2312" w:eastAsia="仿宋_GB2312"/>
                <w:sz w:val="24"/>
                <w:b/>
              </w:rPr>
              <w:t>（二）生态保护红线论证报告工作内容：</w:t>
            </w:r>
          </w:p>
          <w:p>
            <w:pPr>
              <w:pStyle w:val="null3"/>
              <w:jc w:val="both"/>
            </w:pPr>
            <w:r>
              <w:rPr>
                <w:rFonts w:ascii="仿宋_GB2312" w:hAnsi="仿宋_GB2312" w:cs="仿宋_GB2312" w:eastAsia="仿宋_GB2312"/>
                <w:sz w:val="24"/>
              </w:rPr>
              <w:t>1、资料收集（项目依据、县级国土空间规划文本、矢量及相关图件、“三区三线”成果、最新影像数据、变更数据等）；</w:t>
            </w:r>
          </w:p>
          <w:p>
            <w:pPr>
              <w:pStyle w:val="null3"/>
              <w:jc w:val="both"/>
            </w:pPr>
            <w:r>
              <w:rPr>
                <w:rFonts w:ascii="仿宋_GB2312" w:hAnsi="仿宋_GB2312" w:cs="仿宋_GB2312" w:eastAsia="仿宋_GB2312"/>
                <w:sz w:val="24"/>
              </w:rPr>
              <w:t>2、分析项目占用生态保护红线位置及情况，预判合规性与生态影响要点；</w:t>
            </w:r>
          </w:p>
          <w:p>
            <w:pPr>
              <w:pStyle w:val="null3"/>
              <w:jc w:val="both"/>
            </w:pPr>
            <w:r>
              <w:rPr>
                <w:rFonts w:ascii="仿宋_GB2312" w:hAnsi="仿宋_GB2312" w:cs="仿宋_GB2312" w:eastAsia="仿宋_GB2312"/>
                <w:sz w:val="24"/>
              </w:rPr>
              <w:t>3、编制项目占用生态保护红线论证报告文本、图件和表格；</w:t>
            </w:r>
          </w:p>
          <w:p>
            <w:pPr>
              <w:pStyle w:val="null3"/>
              <w:jc w:val="both"/>
            </w:pPr>
            <w:r>
              <w:rPr>
                <w:rFonts w:ascii="仿宋_GB2312" w:hAnsi="仿宋_GB2312" w:cs="仿宋_GB2312" w:eastAsia="仿宋_GB2312"/>
                <w:sz w:val="24"/>
              </w:rPr>
              <w:t>4、配合交通局征询农、林、水、环、秦巴办、自然资源局是否涉及占用各类自然保护地等意见，并取得各部门回函；</w:t>
            </w:r>
          </w:p>
          <w:p>
            <w:pPr>
              <w:pStyle w:val="null3"/>
              <w:jc w:val="both"/>
            </w:pPr>
            <w:r>
              <w:rPr>
                <w:rFonts w:ascii="仿宋_GB2312" w:hAnsi="仿宋_GB2312" w:cs="仿宋_GB2312" w:eastAsia="仿宋_GB2312"/>
                <w:sz w:val="24"/>
              </w:rPr>
              <w:t>5、配合县自然资源局，组织生态环境、林业等主管部门开专家论证会，根据会议意见修改报告，跟进专家意见和县政府初步认定意见出具；</w:t>
            </w:r>
          </w:p>
          <w:p>
            <w:pPr>
              <w:pStyle w:val="null3"/>
              <w:jc w:val="both"/>
            </w:pPr>
            <w:r>
              <w:rPr>
                <w:rFonts w:ascii="仿宋_GB2312" w:hAnsi="仿宋_GB2312" w:cs="仿宋_GB2312" w:eastAsia="仿宋_GB2312"/>
                <w:sz w:val="24"/>
              </w:rPr>
              <w:t>6、上报市政府生态保护红线论证报告及县级材料，跟进市政府转办市自然资源局审查、踏勘，配合市局组织专家论证会，根据会议意见修改报告，跟进专家意见和市政府初步认定意见出具；</w:t>
            </w:r>
          </w:p>
          <w:p>
            <w:pPr>
              <w:pStyle w:val="null3"/>
              <w:jc w:val="both"/>
            </w:pPr>
            <w:r>
              <w:rPr>
                <w:rFonts w:ascii="仿宋_GB2312" w:hAnsi="仿宋_GB2312" w:cs="仿宋_GB2312" w:eastAsia="仿宋_GB2312"/>
                <w:sz w:val="24"/>
              </w:rPr>
              <w:t>7、上报省政府生态保护红线论证报告及市县级材料，跟进省政府转办至省自然资源厅审查，配合省厅组织专家论证会，根据会议意见修改报告，跟进专家意见和省政府认定意见出具。</w:t>
            </w:r>
          </w:p>
          <w:p>
            <w:pPr>
              <w:pStyle w:val="null3"/>
              <w:jc w:val="left"/>
            </w:pPr>
            <w:r>
              <w:rPr>
                <w:rFonts w:ascii="仿宋_GB2312" w:hAnsi="仿宋_GB2312" w:cs="仿宋_GB2312" w:eastAsia="仿宋_GB2312"/>
                <w:sz w:val="24"/>
                <w:b/>
              </w:rPr>
              <w:t>（三）节约集约用地论证报告工作内容：</w:t>
            </w:r>
          </w:p>
          <w:p>
            <w:pPr>
              <w:pStyle w:val="null3"/>
              <w:jc w:val="both"/>
            </w:pPr>
            <w:r>
              <w:rPr>
                <w:rFonts w:ascii="仿宋_GB2312" w:hAnsi="仿宋_GB2312" w:cs="仿宋_GB2312" w:eastAsia="仿宋_GB2312"/>
                <w:sz w:val="24"/>
              </w:rPr>
              <w:t>1、编制项目节约集约用地论证分析专章文本、图件和表格，形成报告成果资料；</w:t>
            </w:r>
          </w:p>
          <w:p>
            <w:pPr>
              <w:pStyle w:val="null3"/>
              <w:jc w:val="both"/>
            </w:pPr>
            <w:r>
              <w:rPr>
                <w:rFonts w:ascii="仿宋_GB2312" w:hAnsi="仿宋_GB2312" w:cs="仿宋_GB2312" w:eastAsia="仿宋_GB2312"/>
                <w:sz w:val="24"/>
              </w:rPr>
              <w:t>2、上报县级审查并跟进县级出具审查意见；</w:t>
            </w:r>
          </w:p>
          <w:p>
            <w:pPr>
              <w:pStyle w:val="null3"/>
              <w:jc w:val="both"/>
            </w:pPr>
            <w:r>
              <w:rPr>
                <w:rFonts w:ascii="仿宋_GB2312" w:hAnsi="仿宋_GB2312" w:cs="仿宋_GB2312" w:eastAsia="仿宋_GB2312"/>
                <w:sz w:val="24"/>
              </w:rPr>
              <w:t>3、上报市级审查并跟进市级出具审查意见；</w:t>
            </w:r>
          </w:p>
          <w:p>
            <w:pPr>
              <w:pStyle w:val="null3"/>
              <w:jc w:val="both"/>
            </w:pPr>
            <w:r>
              <w:rPr>
                <w:rFonts w:ascii="仿宋_GB2312" w:hAnsi="仿宋_GB2312" w:cs="仿宋_GB2312" w:eastAsia="仿宋_GB2312"/>
                <w:sz w:val="24"/>
              </w:rPr>
              <w:t>4、上报省级并跟进省级审查，配合规划院组织召开专家评审会，根据专家意见修改报告，取得专家意见及规划院意见。</w:t>
            </w:r>
          </w:p>
          <w:p>
            <w:pPr>
              <w:pStyle w:val="null3"/>
              <w:jc w:val="both"/>
            </w:pPr>
            <w:r>
              <w:rPr>
                <w:rFonts w:ascii="仿宋_GB2312" w:hAnsi="仿宋_GB2312" w:cs="仿宋_GB2312" w:eastAsia="仿宋_GB2312"/>
                <w:sz w:val="24"/>
                <w:b/>
                <w:color w:val="000000"/>
              </w:rPr>
              <w:t>二、服务期</w:t>
            </w:r>
          </w:p>
          <w:p>
            <w:pPr>
              <w:pStyle w:val="null3"/>
              <w:jc w:val="both"/>
            </w:pPr>
            <w:r>
              <w:rPr>
                <w:rFonts w:ascii="仿宋_GB2312" w:hAnsi="仿宋_GB2312" w:cs="仿宋_GB2312" w:eastAsia="仿宋_GB2312"/>
                <w:sz w:val="24"/>
              </w:rPr>
              <w:t>合同签订后</w:t>
            </w:r>
            <w:r>
              <w:rPr>
                <w:rFonts w:ascii="仿宋_GB2312" w:hAnsi="仿宋_GB2312" w:cs="仿宋_GB2312" w:eastAsia="仿宋_GB2312"/>
                <w:sz w:val="24"/>
              </w:rPr>
              <w:t>180天。</w:t>
            </w:r>
          </w:p>
          <w:p>
            <w:pPr>
              <w:pStyle w:val="null3"/>
              <w:jc w:val="both"/>
            </w:pPr>
            <w:r>
              <w:rPr>
                <w:rFonts w:ascii="仿宋_GB2312" w:hAnsi="仿宋_GB2312" w:cs="仿宋_GB2312" w:eastAsia="仿宋_GB2312"/>
                <w:sz w:val="24"/>
                <w:b/>
                <w:color w:val="000000"/>
              </w:rPr>
              <w:t>三、技术要求（服务标准）</w:t>
            </w:r>
          </w:p>
          <w:p>
            <w:pPr>
              <w:pStyle w:val="null3"/>
              <w:jc w:val="both"/>
            </w:pPr>
            <w:r>
              <w:rPr>
                <w:rFonts w:ascii="仿宋_GB2312" w:hAnsi="仿宋_GB2312" w:cs="仿宋_GB2312" w:eastAsia="仿宋_GB2312"/>
                <w:sz w:val="24"/>
                <w:color w:val="000000"/>
              </w:rPr>
              <w:t>依据现行《中华人民共和国土地管理法》、《建设项目用地预审管理办法》等相关法律以及陕西省自然资源厅对建设项目用地预审的有关规定和要求，负责对用地预审资料进行编制，逐级上报各级自然资源部门及政府审查，最终取得行政主管部门批复文件。</w:t>
            </w:r>
          </w:p>
          <w:p>
            <w:pPr>
              <w:pStyle w:val="null3"/>
              <w:jc w:val="both"/>
            </w:pPr>
            <w:r>
              <w:rPr>
                <w:rFonts w:ascii="仿宋_GB2312" w:hAnsi="仿宋_GB2312" w:cs="仿宋_GB2312" w:eastAsia="仿宋_GB2312"/>
                <w:sz w:val="24"/>
                <w:b/>
                <w:color w:val="000000"/>
              </w:rPr>
              <w:t>四、质量要求</w:t>
            </w:r>
          </w:p>
          <w:p>
            <w:pPr>
              <w:pStyle w:val="null3"/>
            </w:pPr>
            <w:r>
              <w:rPr>
                <w:rFonts w:ascii="仿宋_GB2312" w:hAnsi="仿宋_GB2312" w:cs="仿宋_GB2312" w:eastAsia="仿宋_GB2312"/>
                <w:sz w:val="24"/>
                <w:color w:val="000000"/>
              </w:rPr>
              <w:t>符合国家相关法律、法规、技术规范和自然资源部现行的标准、规范等要求，以及陕西省自然资源厅对建设项目用地预审的有关规定。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合同签订后180天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成果提交后，协助采购人取得上级主管部门批复文件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甲乙双方在合同履行中发生争议，应通过协商解决。如协商不成，可以向甲方所在地有管辖权的人民法院提起诉讼。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供应商须具备国家行政主管部门颁发的土地规划乙级（含乙级）及以上或测绘乙级（含乙级）及以上资质；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按磋商文件格式要求加盖了供应商公章和有法定代表人（或单位负责人）或其授权代表签字或加盖人名章</w:t>
            </w:r>
          </w:p>
        </w:tc>
        <w:tc>
          <w:tcPr>
            <w:tcW w:type="dxa" w:w="1661"/>
          </w:tcPr>
          <w:p>
            <w:pPr>
              <w:pStyle w:val="null3"/>
            </w:pPr>
            <w:r>
              <w:rPr>
                <w:rFonts w:ascii="仿宋_GB2312" w:hAnsi="仿宋_GB2312" w:cs="仿宋_GB2312" w:eastAsia="仿宋_GB2312"/>
              </w:rPr>
              <w:t>技术服务方案.docx 服务内容及服务邀请应答表 中小企业声明函 项目团队.docx 商务应答表 供应商类似业绩.docx 报价表 响应文件封面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 择性报价，且报价不超过采购预算 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投标人应根据本项目的实际情况，提出切合实际有针对性的服务方案，服务方案应包括但不限于方案编制、对突发事件的应急预案等。 （1）服务方案内容全面详细，针对性强，能完全满足本项目采购要求的计13.1-20分； （2）服务方案内容基本全面详细，基本满足本项目需求的计 6.1-13分； （3）项目实施方案内容有缺陷，不能完全满足本项目需求的计1-6分。 （3）未进行描述的本项不得分。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成果文件应满足本项目服务内容，工作安排与质量保证措施要求详尽、质量控制程序规范，且针对本项目提供质量保证承诺。 （1）措施编制科学合理、完善详尽，可行性强的计 10.1-15 分； （2）措施编制基本合理、基本可行的计 5.1-10 分； （3）措施编制存在部分缺陷和不足的计 1-5 分； （4）未进行描述的本项不得分。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进度计划和服务周期目标</w:t>
            </w:r>
          </w:p>
        </w:tc>
        <w:tc>
          <w:tcPr>
            <w:tcW w:type="dxa" w:w="2492"/>
          </w:tcPr>
          <w:p>
            <w:pPr>
              <w:pStyle w:val="null3"/>
            </w:pPr>
            <w:r>
              <w:rPr>
                <w:rFonts w:ascii="仿宋_GB2312" w:hAnsi="仿宋_GB2312" w:cs="仿宋_GB2312" w:eastAsia="仿宋_GB2312"/>
              </w:rPr>
              <w:t>提供合理、可行的项目进度计划，要求进度计划满足采购人提出的项目 进度要求，且节点清晰，控制措施合理。 （1）措施编制科学合理、完善详尽，可行性强的计 10.1-15 分； （2）措施编制基本合理可行的计 5.1-10 分； （3）措施编制存在部分缺陷和不足的计 1-5 分； （4）未进行描述的本项不得分。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重点及难点的分析以及拟采用的解决方案</w:t>
            </w:r>
          </w:p>
        </w:tc>
        <w:tc>
          <w:tcPr>
            <w:tcW w:type="dxa" w:w="2492"/>
          </w:tcPr>
          <w:p>
            <w:pPr>
              <w:pStyle w:val="null3"/>
            </w:pPr>
            <w:r>
              <w:rPr>
                <w:rFonts w:ascii="仿宋_GB2312" w:hAnsi="仿宋_GB2312" w:cs="仿宋_GB2312" w:eastAsia="仿宋_GB2312"/>
              </w:rPr>
              <w:t>对本项目工作重点及难点的分析以及拟采用的解决方案和合理化建议，横向比较，进行赋分。 （1）分析及建议方案合理可行，有针对性，符合项目需求，得 7.1-10 分； （2）分析及建议方案粗略可操作性一般，得 4.1-7 分； （3）分析及建议方案粗略可操作性不足，得 1-4 分； （4）未进行描述的本项不得分。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后期服务配合计划</w:t>
            </w:r>
          </w:p>
        </w:tc>
        <w:tc>
          <w:tcPr>
            <w:tcW w:type="dxa" w:w="2492"/>
          </w:tcPr>
          <w:p>
            <w:pPr>
              <w:pStyle w:val="null3"/>
            </w:pPr>
            <w:r>
              <w:rPr>
                <w:rFonts w:ascii="仿宋_GB2312" w:hAnsi="仿宋_GB2312" w:cs="仿宋_GB2312" w:eastAsia="仿宋_GB2312"/>
              </w:rPr>
              <w:t>后期服务配合计划完备、可行性强，能满足采购人要求，保证随叫随到， 为采购人提供相关技术咨询、优化建议等措施。配合采购人提供相应的 成果及相关材料。 （1）后期服务配合计划完备、可行性强、可操作性强、细节描述详细且响应及时的计 5.1-10 分； （2）后期服务配合计划完备、细节描述存在不足且响应不及时的 1-5分； （3）未进行描述的本项不得分。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根据采购文件要求对本次服务做出相应承诺。 （1）完全满足项目要求，且提出更优化的服务目标5.1-8分； （2）基本满足项目要求，且提出更优化的服务目标3.1-5分； （3）基本满足项目要求，未提出其他服务目标1-3分； （4）未进行描述的本项不得分。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供应商提供2023年1月1日以来（以合同签订时间为准）的类似项目业绩，每提供一个业绩得2分，最多得4分。（提供合同或中标通知书复印件）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供应商类似业绩.docx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根据供应商的团队人员配备情况进行评审： 1. 项目负责人具有相关专业高级工程师得 4 分，具有相关专业中级工程师职称得 2 分； 2. 拟派项目团队人员（不含项目负责人）：具有相关专业初级及以上工程师职称，每提供1人得2分，最高4分。 备注：须提供身份证、职称证书。</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满足磋商文件要求且最后各家最终磋商价格的最低值为评标基准价，其价格分为满分。 磋商报价得分=（评审基准价／磋商二次报价）×价格权值×100。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详见附件：供应商类似业绩.docx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详见附件：项目团队.docx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