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版本号：YSY2026-CG-00520260127001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G316城固汉江特大桥及引线工程临时用地复垦方案编制建设用地报批技术服务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YSY2026-CG-005</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G316城固汉江特大桥及引线工程临时用地复垦方案编制建设用地报批技术服务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YSY2026-CG-005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G316城固汉江特大桥及引线工程临时用地复垦方案编制建设用地报批技术服务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对G316城固汉江特大桥及引线工程临时用地复垦方案编制建设用地报批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采购包1（G316城固汉江特大桥及引线工程临时用地复垦方案编制建设用地报批技术服务）：属于专门面向中小企业采购。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3、供应商资质：供应商须具备国家行政主管部门颁发的土地规划乙级（含乙级）及以上或测绘乙级（含乙级）及以上资质；</w:t>
      </w:r>
    </w:p>
    <w:p>
      <w:pPr>
        <w:pStyle w:val="null3"/>
      </w:pPr>
      <w:r>
        <w:rPr>
          <w:rFonts w:ascii="仿宋_GB2312" w:hAnsi="仿宋_GB2312" w:cs="仿宋_GB2312" w:eastAsia="仿宋_GB2312"/>
        </w:rPr>
        <w:t>4、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对G316城固汉江特大桥及引线工程临时用地复垦方案编制建设用地报批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G316城固汉江特大桥及引线工程临时用地复垦方案编制建设用地报批技术服务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标的名称：G316城固汉江特大桥及引线工程临时用地复垦方案编制建设用地报批技术服务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（一）临时用地复垦方案编制工作内容：</w:t>
            </w:r>
            <w:r>
              <w:br/>
            </w:r>
            <w:r>
              <w:rPr>
                <w:rFonts w:ascii="仿宋_GB2312" w:hAnsi="仿宋_GB2312" w:cs="仿宋_GB2312" w:eastAsia="仿宋_GB2312"/>
                <w:sz w:val="21"/>
              </w:rPr>
              <w:t xml:space="preserve"> 资料收集、内业分析、现场踏勘、报告编制、上报审查，取得批复意见</w:t>
            </w:r>
            <w:r>
              <w:br/>
            </w:r>
            <w:r>
              <w:rPr>
                <w:rFonts w:ascii="仿宋_GB2312" w:hAnsi="仿宋_GB2312" w:cs="仿宋_GB2312" w:eastAsia="仿宋_GB2312"/>
                <w:sz w:val="21"/>
              </w:rPr>
              <w:t xml:space="preserve"> （二）建设用地（报批）工作内容：</w:t>
            </w:r>
            <w:r>
              <w:br/>
            </w:r>
            <w:r>
              <w:rPr>
                <w:rFonts w:ascii="仿宋_GB2312" w:hAnsi="仿宋_GB2312" w:cs="仿宋_GB2312" w:eastAsia="仿宋_GB2312"/>
                <w:sz w:val="21"/>
              </w:rPr>
              <w:t xml:space="preserve"> 1、检查收储中心提供的土地征收材料；</w:t>
            </w:r>
            <w:r>
              <w:br/>
            </w:r>
            <w:r>
              <w:rPr>
                <w:rFonts w:ascii="仿宋_GB2312" w:hAnsi="仿宋_GB2312" w:cs="仿宋_GB2312" w:eastAsia="仿宋_GB2312"/>
                <w:sz w:val="21"/>
              </w:rPr>
              <w:t xml:space="preserve"> 2、征询农、林、水、环、秦巴办、自然资源局是否涉及占用各类自然保护地等意见，并取得各部门回函；</w:t>
            </w:r>
            <w:r>
              <w:br/>
            </w:r>
            <w:r>
              <w:rPr>
                <w:rFonts w:ascii="仿宋_GB2312" w:hAnsi="仿宋_GB2312" w:cs="仿宋_GB2312" w:eastAsia="仿宋_GB2312"/>
                <w:sz w:val="21"/>
              </w:rPr>
              <w:t xml:space="preserve"> 3、收集检查建设单位提供项目报批前置资料（预审和选址意见书，可研批准、核准或备案文件，节约专章纳入可研或项目申请的证明材料，初步设计批复，建设项目环境保护批准文件，建设项目压覆矿产的批准文件，文物批复，地震批复，水土保持批复，地灾报告及备案等文件）；</w:t>
            </w:r>
            <w:r>
              <w:br/>
            </w:r>
            <w:r>
              <w:rPr>
                <w:rFonts w:ascii="仿宋_GB2312" w:hAnsi="仿宋_GB2312" w:cs="仿宋_GB2312" w:eastAsia="仿宋_GB2312"/>
                <w:sz w:val="21"/>
              </w:rPr>
              <w:t xml:space="preserve"> 4、配合县局编制资料（市（区）、县（市、区）自然资源主管部门经当地人民政府同意的用地请示文件、建设用地分类面积表、县（市、区）人民政府关于申请项目土地征收的请示、建设用地审查情况表、一表一方案（建设用地审查报批地类认定基础数据表、农用地转用方案）、当地人民政府出具的土地权属情况证明及权属汇总表，村上权属证明、耕地占补平衡情况说明、地类回退的说明等文件和做土地利用现状图、规划图、三区三线图等图件）；</w:t>
            </w:r>
            <w:r>
              <w:br/>
            </w:r>
            <w:r>
              <w:rPr>
                <w:rFonts w:ascii="仿宋_GB2312" w:hAnsi="仿宋_GB2312" w:cs="仿宋_GB2312" w:eastAsia="仿宋_GB2312"/>
                <w:sz w:val="21"/>
              </w:rPr>
              <w:t xml:space="preserve"> 5、出文组件，上传用途管制监管系统；</w:t>
            </w:r>
            <w:r>
              <w:br/>
            </w:r>
            <w:r>
              <w:rPr>
                <w:rFonts w:ascii="仿宋_GB2312" w:hAnsi="仿宋_GB2312" w:cs="仿宋_GB2312" w:eastAsia="仿宋_GB2312"/>
                <w:sz w:val="21"/>
              </w:rPr>
              <w:t xml:space="preserve"> 6、上报市局，跟进耕地保护和用途管制科、空间规划科、开发利用科、调查监测科、确权登记科、政策法规科、执法监察支队、复垦中心、生态修复科、矿产资源科会签审查；</w:t>
            </w:r>
            <w:r>
              <w:br/>
            </w:r>
            <w:r>
              <w:rPr>
                <w:rFonts w:ascii="仿宋_GB2312" w:hAnsi="仿宋_GB2312" w:cs="仿宋_GB2312" w:eastAsia="仿宋_GB2312"/>
                <w:sz w:val="21"/>
              </w:rPr>
              <w:t xml:space="preserve"> 7、上报省厅，跟进用途管制处、规划局、执法局、耕保处、利用处、地籍监察处、矿保处、不动产登记、修复处、勘查处共10个处室审查会签，根据会签意见进行补正完善；</w:t>
            </w:r>
            <w:r>
              <w:br/>
            </w:r>
            <w:r>
              <w:rPr>
                <w:rFonts w:ascii="仿宋_GB2312" w:hAnsi="仿宋_GB2312" w:cs="仿宋_GB2312" w:eastAsia="仿宋_GB2312"/>
                <w:sz w:val="21"/>
              </w:rPr>
              <w:t xml:space="preserve"> 8、跟进省政府下发用地批复意见。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成果提交后，协助采购人取得上级主管部门批复文件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供应商须具备国家行政主管部门颁发的土地规划乙级（含乙级）及以上或测绘乙级（含乙级）及以上资质；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 择性报价，且报价不超过采购预算 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投标人应根据本项目的实际情况，提出切合实际有针对性的服务方案，服务方案应包括但不限于方案编制、对突发事件的应急预案等。 （1）服务方案内容全面详细，针对性强，能完全满足本项目采购要求的计13.1-20分； （2）服务方案内容基本全面详细，基本满足本项目需求的计 6.1-13分； （3）项目实施方案内容有缺陷，不能完全满足本项目需求的计1-6分。 （3）未进行描述的本项不得分。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成果文件应满足本项目服务内容，工作安排与质量保证措施要求详尽、质量控制程序规范，且针对本项目提供质量保证承诺。 （1）措施编制科学合理、完善详尽，可行性强的计 10.1-15 分； （2）措施编制基本合理、基本可行的计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进度计划和服务周期目标</w:t>
            </w:r>
          </w:p>
        </w:tc>
        <w:tc>
          <w:tcPr>
            <w:tcW w:type="dxa" w:w="2492"/>
          </w:tcPr>
          <w:p>
            <w:pPr>
              <w:pStyle w:val="null3"/>
            </w:pPr>
            <w:r>
              <w:rPr>
                <w:rFonts w:ascii="仿宋_GB2312" w:hAnsi="仿宋_GB2312" w:cs="仿宋_GB2312" w:eastAsia="仿宋_GB2312"/>
              </w:rPr>
              <w:t>提供合理、可行的项目进度计划，要求进度计划满足采购人提出的项目 进度要求，且节点清晰，控制措施合理。 （1）措施编制科学合理、完善详尽，可行性强的计 10.1-15 分； （2）措施编制基本合理可行的计 5.1-10 分； （3）措施编制存在部分缺陷和不足的计 1-5 分； （4）未进行描述的本项不得分。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重点及难点 的分析以及拟采用的解决方案</w:t>
            </w:r>
          </w:p>
        </w:tc>
        <w:tc>
          <w:tcPr>
            <w:tcW w:type="dxa" w:w="2492"/>
          </w:tcPr>
          <w:p>
            <w:pPr>
              <w:pStyle w:val="null3"/>
            </w:pPr>
            <w:r>
              <w:rPr>
                <w:rFonts w:ascii="仿宋_GB2312" w:hAnsi="仿宋_GB2312" w:cs="仿宋_GB2312" w:eastAsia="仿宋_GB2312"/>
              </w:rPr>
              <w:t>对本项目工作重点及难点的分析以及拟采用的解决方案和合理化建议，横向比较，进行赋分。 （1）分析及建议方案合理可行，有针对性，符合项目需求，得 7.1-10 分； （2）分析及建议方案粗略可操作性一般，得 4.1-7 分； （3）分析及建议方案粗略可操作性不足，得 1-4 分； （4）未进行描述的本项不得分。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后期服务配合计划完备、可行性强，能满足采购人要求，保证随叫随到，为采购人提供相关技术咨询、优化建议等措施。配合采购人提供相应的成果及相关材料。 （1）后期服务配合计划完备、可行性强、可操作性强、细节描述详细且响应及时的计 5.1-10 分； （2）后期服务配合计划完备、细节描述存在不足且响应不及时的 1-5分； （3）未进行描述的本项不得分。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根据采购文件要求对本次服务做出相应承诺。 （1）完全满足项目要求，且提出更优化的服务目标5.1-8分； （2）基本满足项目要求，且提出更优化的服务目标3.1-5分； （3）基本满足项目要求，未提出其他服务目标1-3分； （4）未进行描述的本项不得分。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供应商提供2023年1月1日以来（以合同签订时间为准）的类似项目业绩，每提供一个业绩得2分，最多得4分。（提供合同或中标通知书复印件）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根据供应商的团队人员配备情况进行评审： 1. 项目负责人具有相关专业高级工程师得 4 分，具有相关专业中级工程师职称得 2 分； 2. 拟派项目团队人员（不含项目负责人）：具有相关专业初级及以上工程师职称，每提供1人得2分，最高4分。 备注：须提供身份证、职称证书。</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详见附件：供应商类似业绩.docx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