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版本号：ZC2026-FW-02420260127001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三合镇至马道镇（城固段）公路工程选址论证报告编制及临时用地复垦方案编制技术服务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ZC2026-FW-024</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三合镇至马道镇（城固段）公路工程选址论证报告编制及临时用地复垦方案编制技术服务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ZC2026-FW-024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三合镇至马道镇（城固段）公路工程选址论证报告编制及临时用地复垦方案编制技术服务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对三合镇至马道镇（城固段）公路工程选址论证报告编制及临时用地复垦方案编制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采购包1（三合镇至马道镇（城固段）公路工程选址论证报告编制及临时用地复垦方案编制技术服务）：属于专门面向中小企业采购。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3、供应商资质：供应商须具备国家行政主管部门颁发的土地规划乙级（含乙级）及以上或测绘乙级（含乙级）及以上资质；</w:t>
      </w:r>
    </w:p>
    <w:p>
      <w:pPr>
        <w:pStyle w:val="null3"/>
      </w:pPr>
      <w:r>
        <w:rPr>
          <w:rFonts w:ascii="仿宋_GB2312" w:hAnsi="仿宋_GB2312" w:cs="仿宋_GB2312" w:eastAsia="仿宋_GB2312"/>
        </w:rPr>
        <w:t>4、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18189275352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开户名称：陕西中采项目管理有限公司汉中分公司</w:t>
            </w:r>
          </w:p>
          <w:p>
            <w:pPr>
              <w:pStyle w:val="null3"/>
            </w:pPr>
            <w:r>
              <w:rPr>
                <w:rFonts w:ascii="仿宋_GB2312" w:hAnsi="仿宋_GB2312" w:cs="仿宋_GB2312" w:eastAsia="仿宋_GB2312"/>
              </w:rPr>
              <w:t>开户银行：中国建设银行股份有限公司汉中南一环路支行</w:t>
            </w:r>
          </w:p>
          <w:p>
            <w:pPr>
              <w:pStyle w:val="null3"/>
            </w:pPr>
            <w:r>
              <w:rPr>
                <w:rFonts w:ascii="仿宋_GB2312" w:hAnsi="仿宋_GB2312" w:cs="仿宋_GB2312" w:eastAsia="仿宋_GB2312"/>
              </w:rPr>
              <w:t>银行账号：61050111271100000162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联系电话：18189275352</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对三合镇至马道镇（城固段）公路工程选址论证报告编制及临时用地复垦方案编制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三合镇至马道镇（城固段）公路工程选址论证报告编制及临时用地复垦方案编制技术服务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标的名称：三合镇至马道镇（城固段）公路工程选址论证报告编制及临时用地复垦方案编制技术服务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w:t>
            </w:r>
            <w:r>
              <w:rPr>
                <w:rFonts w:ascii="仿宋_GB2312" w:hAnsi="仿宋_GB2312" w:cs="仿宋_GB2312" w:eastAsia="仿宋_GB2312"/>
                <w:sz w:val="24"/>
                <w:b/>
                <w:color w:val="000000"/>
              </w:rPr>
              <w:t>内容：</w:t>
            </w:r>
          </w:p>
          <w:p>
            <w:pPr>
              <w:pStyle w:val="null3"/>
              <w:ind w:firstLine="482"/>
              <w:jc w:val="both"/>
            </w:pPr>
            <w:r>
              <w:rPr>
                <w:rFonts w:ascii="仿宋_GB2312" w:hAnsi="仿宋_GB2312" w:cs="仿宋_GB2312" w:eastAsia="仿宋_GB2312"/>
                <w:sz w:val="24"/>
                <w:b/>
              </w:rPr>
              <w:t>选址论证报告编制</w:t>
            </w:r>
            <w:r>
              <w:rPr>
                <w:rFonts w:ascii="仿宋_GB2312" w:hAnsi="仿宋_GB2312" w:cs="仿宋_GB2312" w:eastAsia="仿宋_GB2312"/>
                <w:sz w:val="24"/>
                <w:b/>
              </w:rPr>
              <w:t>工作内容：</w:t>
            </w:r>
          </w:p>
          <w:p>
            <w:pPr>
              <w:pStyle w:val="null3"/>
              <w:ind w:firstLine="480"/>
              <w:jc w:val="both"/>
            </w:pPr>
            <w:r>
              <w:rPr>
                <w:rFonts w:ascii="仿宋_GB2312" w:hAnsi="仿宋_GB2312" w:cs="仿宋_GB2312" w:eastAsia="仿宋_GB2312"/>
                <w:sz w:val="24"/>
              </w:rPr>
              <w:t>根据《建设项目选址规划管理办法》和《陕西省建设项目选址报告编制技术导则》，建设项目选址意见书应当包含以下内容（附件</w:t>
            </w:r>
            <w:r>
              <w:rPr>
                <w:rFonts w:ascii="仿宋_GB2312" w:hAnsi="仿宋_GB2312" w:cs="仿宋_GB2312" w:eastAsia="仿宋_GB2312"/>
                <w:sz w:val="24"/>
              </w:rPr>
              <w:t>1，建设项目选址论证报告编制提纲）：</w:t>
            </w:r>
          </w:p>
          <w:p>
            <w:pPr>
              <w:pStyle w:val="null3"/>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建设项目的基本情况</w:t>
            </w:r>
          </w:p>
          <w:p>
            <w:pPr>
              <w:pStyle w:val="null3"/>
              <w:ind w:firstLine="480"/>
              <w:jc w:val="both"/>
            </w:pPr>
            <w:r>
              <w:rPr>
                <w:rFonts w:ascii="仿宋_GB2312" w:hAnsi="仿宋_GB2312" w:cs="仿宋_GB2312" w:eastAsia="仿宋_GB2312"/>
                <w:sz w:val="24"/>
              </w:rPr>
              <w:t>主要是建设项目名称、性质，用地与建设规模，供水与能源的需求量，采取的运输方式与运输量，以及废水、气、废渣的的排放方式和排放量。</w:t>
            </w:r>
          </w:p>
          <w:p>
            <w:pPr>
              <w:pStyle w:val="null3"/>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建设项目规划选址的主要依据</w:t>
            </w:r>
          </w:p>
          <w:p>
            <w:pPr>
              <w:pStyle w:val="null3"/>
              <w:ind w:firstLine="480"/>
              <w:jc w:val="both"/>
            </w:pPr>
            <w:r>
              <w:rPr>
                <w:rFonts w:ascii="仿宋_GB2312" w:hAnsi="仿宋_GB2312" w:cs="仿宋_GB2312" w:eastAsia="仿宋_GB2312"/>
                <w:sz w:val="24"/>
              </w:rPr>
              <w:t>1、经批准的项目建议书；</w:t>
            </w:r>
          </w:p>
          <w:p>
            <w:pPr>
              <w:pStyle w:val="null3"/>
              <w:ind w:firstLine="480"/>
              <w:jc w:val="both"/>
            </w:pPr>
            <w:r>
              <w:rPr>
                <w:rFonts w:ascii="仿宋_GB2312" w:hAnsi="仿宋_GB2312" w:cs="仿宋_GB2312" w:eastAsia="仿宋_GB2312"/>
                <w:sz w:val="24"/>
              </w:rPr>
              <w:t>2、建设项目与城市规划布局的协调；</w:t>
            </w:r>
          </w:p>
          <w:p>
            <w:pPr>
              <w:pStyle w:val="null3"/>
              <w:ind w:firstLine="480"/>
              <w:jc w:val="both"/>
            </w:pPr>
            <w:r>
              <w:rPr>
                <w:rFonts w:ascii="仿宋_GB2312" w:hAnsi="仿宋_GB2312" w:cs="仿宋_GB2312" w:eastAsia="仿宋_GB2312"/>
                <w:sz w:val="24"/>
              </w:rPr>
              <w:t>3、建设项目与城市交通、通讯、能源、市政、防灾规划的衔接与协调；</w:t>
            </w:r>
          </w:p>
          <w:p>
            <w:pPr>
              <w:pStyle w:val="null3"/>
              <w:ind w:firstLine="480"/>
              <w:jc w:val="both"/>
            </w:pPr>
            <w:r>
              <w:rPr>
                <w:rFonts w:ascii="仿宋_GB2312" w:hAnsi="仿宋_GB2312" w:cs="仿宋_GB2312" w:eastAsia="仿宋_GB2312"/>
                <w:sz w:val="24"/>
              </w:rPr>
              <w:t>4、建设项目配套的生活设施与城市生活居住及公共设施规划的衔接与协调；</w:t>
            </w:r>
          </w:p>
          <w:p>
            <w:pPr>
              <w:pStyle w:val="null3"/>
              <w:ind w:firstLine="480"/>
              <w:jc w:val="left"/>
            </w:pPr>
            <w:r>
              <w:rPr>
                <w:rFonts w:ascii="仿宋_GB2312" w:hAnsi="仿宋_GB2312" w:cs="仿宋_GB2312" w:eastAsia="仿宋_GB2312"/>
                <w:sz w:val="24"/>
              </w:rPr>
              <w:t>5、建设项目对于城市环境可能造成的污染影响，以及与城市环境保护规划和风景名胜、文物古迹保护规划的协调。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建设项目选址、用地范围和具体规划要求。</w:t>
            </w:r>
          </w:p>
          <w:p>
            <w:pPr>
              <w:pStyle w:val="null3"/>
              <w:jc w:val="left"/>
            </w:pPr>
            <w:r>
              <w:rPr>
                <w:rFonts w:ascii="仿宋_GB2312" w:hAnsi="仿宋_GB2312" w:cs="仿宋_GB2312" w:eastAsia="仿宋_GB2312"/>
                <w:sz w:val="24"/>
                <w:b/>
              </w:rPr>
              <w:t>临时用地复垦方案编制</w:t>
            </w:r>
            <w:r>
              <w:rPr>
                <w:rFonts w:ascii="仿宋_GB2312" w:hAnsi="仿宋_GB2312" w:cs="仿宋_GB2312" w:eastAsia="仿宋_GB2312"/>
                <w:sz w:val="24"/>
                <w:b/>
              </w:rPr>
              <w:t>工作内容：</w:t>
            </w:r>
          </w:p>
          <w:p>
            <w:pPr>
              <w:pStyle w:val="null3"/>
              <w:ind w:firstLine="480"/>
              <w:jc w:val="both"/>
            </w:pPr>
            <w:r>
              <w:rPr>
                <w:rFonts w:ascii="仿宋_GB2312" w:hAnsi="仿宋_GB2312" w:cs="仿宋_GB2312" w:eastAsia="仿宋_GB2312"/>
                <w:sz w:val="24"/>
              </w:rPr>
              <w:t>资料收集、内业分析、现场踏勘、报告编制、上报审查，取得批复意见</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服务期限</w:t>
            </w:r>
          </w:p>
          <w:p>
            <w:pPr>
              <w:pStyle w:val="null3"/>
              <w:jc w:val="left"/>
            </w:pP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30天。</w:t>
            </w:r>
          </w:p>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、技术要求（包括但不限于）</w:t>
            </w:r>
          </w:p>
          <w:p>
            <w:pPr>
              <w:pStyle w:val="null3"/>
              <w:jc w:val="left"/>
            </w:pPr>
            <w:r>
              <w:rPr>
                <w:rFonts w:ascii="仿宋_GB2312" w:hAnsi="仿宋_GB2312" w:cs="仿宋_GB2312" w:eastAsia="仿宋_GB2312"/>
                <w:sz w:val="24"/>
                <w:color w:val="000000"/>
              </w:rPr>
              <w:t>《土地复垦方案编制规程》第</w:t>
            </w:r>
            <w:r>
              <w:rPr>
                <w:rFonts w:ascii="仿宋_GB2312" w:hAnsi="仿宋_GB2312" w:cs="仿宋_GB2312" w:eastAsia="仿宋_GB2312"/>
                <w:sz w:val="24"/>
                <w:color w:val="000000"/>
              </w:rPr>
              <w:t>1 部分：通则（TD/T1031.1-2011）；</w:t>
            </w:r>
          </w:p>
          <w:p>
            <w:pPr>
              <w:pStyle w:val="null3"/>
              <w:jc w:val="left"/>
            </w:pPr>
            <w:r>
              <w:rPr>
                <w:rFonts w:ascii="仿宋_GB2312" w:hAnsi="仿宋_GB2312" w:cs="仿宋_GB2312" w:eastAsia="仿宋_GB2312"/>
                <w:sz w:val="24"/>
                <w:color w:val="000000"/>
              </w:rPr>
              <w:t>《土地复垦方案编制规程》第</w:t>
            </w:r>
            <w:r>
              <w:rPr>
                <w:rFonts w:ascii="仿宋_GB2312" w:hAnsi="仿宋_GB2312" w:cs="仿宋_GB2312" w:eastAsia="仿宋_GB2312"/>
                <w:sz w:val="24"/>
                <w:color w:val="000000"/>
              </w:rPr>
              <w:t>6 部分：建设项目（TD/T1031.6-2011）；</w:t>
            </w:r>
          </w:p>
          <w:p>
            <w:pPr>
              <w:pStyle w:val="null3"/>
              <w:jc w:val="left"/>
            </w:pPr>
            <w:r>
              <w:rPr>
                <w:rFonts w:ascii="仿宋_GB2312" w:hAnsi="仿宋_GB2312" w:cs="仿宋_GB2312" w:eastAsia="仿宋_GB2312"/>
                <w:sz w:val="24"/>
                <w:color w:val="000000"/>
              </w:rPr>
              <w:t>《土地复垦质量控制标准》（</w:t>
            </w:r>
            <w:r>
              <w:rPr>
                <w:rFonts w:ascii="仿宋_GB2312" w:hAnsi="仿宋_GB2312" w:cs="仿宋_GB2312" w:eastAsia="仿宋_GB2312"/>
                <w:sz w:val="24"/>
                <w:color w:val="000000"/>
              </w:rPr>
              <w:t>TD/T1036-2013）；</w:t>
            </w:r>
          </w:p>
          <w:p>
            <w:pPr>
              <w:pStyle w:val="null3"/>
              <w:jc w:val="left"/>
            </w:pPr>
            <w:r>
              <w:rPr>
                <w:rFonts w:ascii="仿宋_GB2312" w:hAnsi="仿宋_GB2312" w:cs="仿宋_GB2312" w:eastAsia="仿宋_GB2312"/>
                <w:sz w:val="24"/>
                <w:color w:val="000000"/>
              </w:rPr>
              <w:t>《土地整治项目设计报告编制规程》（</w:t>
            </w:r>
            <w:r>
              <w:rPr>
                <w:rFonts w:ascii="仿宋_GB2312" w:hAnsi="仿宋_GB2312" w:cs="仿宋_GB2312" w:eastAsia="仿宋_GB2312"/>
                <w:sz w:val="24"/>
                <w:color w:val="000000"/>
              </w:rPr>
              <w:t>TD/T1038-2013）；</w:t>
            </w:r>
          </w:p>
          <w:p>
            <w:pPr>
              <w:pStyle w:val="null3"/>
              <w:jc w:val="left"/>
            </w:pPr>
            <w:r>
              <w:rPr>
                <w:rFonts w:ascii="仿宋_GB2312" w:hAnsi="仿宋_GB2312" w:cs="仿宋_GB2312" w:eastAsia="仿宋_GB2312"/>
                <w:sz w:val="24"/>
                <w:color w:val="000000"/>
              </w:rPr>
              <w:t>《土地利用现状分类》（</w:t>
            </w:r>
            <w:r>
              <w:rPr>
                <w:rFonts w:ascii="仿宋_GB2312" w:hAnsi="仿宋_GB2312" w:cs="仿宋_GB2312" w:eastAsia="仿宋_GB2312"/>
                <w:sz w:val="24"/>
                <w:color w:val="000000"/>
              </w:rPr>
              <w:t>GB/T21010-2017）；</w:t>
            </w:r>
          </w:p>
          <w:p>
            <w:pPr>
              <w:pStyle w:val="null3"/>
              <w:jc w:val="left"/>
            </w:pPr>
            <w:r>
              <w:rPr>
                <w:rFonts w:ascii="仿宋_GB2312" w:hAnsi="仿宋_GB2312" w:cs="仿宋_GB2312" w:eastAsia="仿宋_GB2312"/>
                <w:sz w:val="24"/>
                <w:color w:val="000000"/>
              </w:rPr>
              <w:t>《陕西省造林技术规范》（</w:t>
            </w:r>
            <w:r>
              <w:rPr>
                <w:rFonts w:ascii="仿宋_GB2312" w:hAnsi="仿宋_GB2312" w:cs="仿宋_GB2312" w:eastAsia="仿宋_GB2312"/>
                <w:sz w:val="24"/>
                <w:color w:val="000000"/>
              </w:rPr>
              <w:t>DB61／T142-2021）；</w:t>
            </w:r>
          </w:p>
          <w:p>
            <w:pPr>
              <w:pStyle w:val="null3"/>
              <w:jc w:val="left"/>
            </w:pPr>
            <w:r>
              <w:rPr>
                <w:rFonts w:ascii="仿宋_GB2312" w:hAnsi="仿宋_GB2312" w:cs="仿宋_GB2312" w:eastAsia="仿宋_GB2312"/>
                <w:sz w:val="24"/>
                <w:color w:val="000000"/>
              </w:rPr>
              <w:t>《农田灌溉水质标准》（</w:t>
            </w:r>
            <w:r>
              <w:rPr>
                <w:rFonts w:ascii="仿宋_GB2312" w:hAnsi="仿宋_GB2312" w:cs="仿宋_GB2312" w:eastAsia="仿宋_GB2312"/>
                <w:sz w:val="24"/>
                <w:color w:val="000000"/>
              </w:rPr>
              <w:t>GB/5084-2021）；</w:t>
            </w:r>
          </w:p>
          <w:p>
            <w:pPr>
              <w:pStyle w:val="null3"/>
              <w:jc w:val="left"/>
            </w:pPr>
            <w:r>
              <w:rPr>
                <w:rFonts w:ascii="仿宋_GB2312" w:hAnsi="仿宋_GB2312" w:cs="仿宋_GB2312" w:eastAsia="仿宋_GB2312"/>
                <w:sz w:val="24"/>
                <w:color w:val="000000"/>
              </w:rPr>
              <w:t>《农田土壤培肥技术规范》（</w:t>
            </w:r>
            <w:r>
              <w:rPr>
                <w:rFonts w:ascii="仿宋_GB2312" w:hAnsi="仿宋_GB2312" w:cs="仿宋_GB2312" w:eastAsia="仿宋_GB2312"/>
                <w:sz w:val="24"/>
                <w:color w:val="000000"/>
              </w:rPr>
              <w:t>DB61/T966-2015）；</w:t>
            </w:r>
          </w:p>
          <w:p>
            <w:pPr>
              <w:pStyle w:val="null3"/>
              <w:jc w:val="left"/>
            </w:pPr>
            <w:r>
              <w:rPr>
                <w:rFonts w:ascii="仿宋_GB2312" w:hAnsi="仿宋_GB2312" w:cs="仿宋_GB2312" w:eastAsia="仿宋_GB2312"/>
                <w:sz w:val="24"/>
                <w:color w:val="000000"/>
              </w:rPr>
              <w:t>《中共中央办公厅国务院办公厅印发</w:t>
            </w:r>
            <w:r>
              <w:rPr>
                <w:rFonts w:ascii="仿宋_GB2312" w:hAnsi="仿宋_GB2312" w:cs="仿宋_GB2312" w:eastAsia="仿宋_GB2312"/>
                <w:sz w:val="24"/>
                <w:color w:val="000000"/>
              </w:rPr>
              <w:t>&lt;关于在国土空间规划中统筹划定落实三条控制线的指导意见&gt;的通知》（厅字〔2019〕48 号）；</w:t>
            </w:r>
          </w:p>
          <w:p>
            <w:pPr>
              <w:pStyle w:val="null3"/>
              <w:jc w:val="left"/>
            </w:pPr>
            <w:r>
              <w:rPr>
                <w:rFonts w:ascii="仿宋_GB2312" w:hAnsi="仿宋_GB2312" w:cs="仿宋_GB2312" w:eastAsia="仿宋_GB2312"/>
                <w:sz w:val="24"/>
                <w:color w:val="000000"/>
              </w:rPr>
              <w:t>《自然资源部生态环境部国家林业和草原局关于加强生态保护红线管理的通知（试行）》（自然资发〔</w:t>
            </w:r>
            <w:r>
              <w:rPr>
                <w:rFonts w:ascii="仿宋_GB2312" w:hAnsi="仿宋_GB2312" w:cs="仿宋_GB2312" w:eastAsia="仿宋_GB2312"/>
                <w:sz w:val="24"/>
                <w:color w:val="000000"/>
              </w:rPr>
              <w:t>2022〕142 号）；</w:t>
            </w:r>
          </w:p>
          <w:p>
            <w:pPr>
              <w:pStyle w:val="null3"/>
              <w:jc w:val="left"/>
            </w:pPr>
            <w:r>
              <w:rPr>
                <w:rFonts w:ascii="仿宋_GB2312" w:hAnsi="仿宋_GB2312" w:cs="仿宋_GB2312" w:eastAsia="仿宋_GB2312"/>
                <w:sz w:val="24"/>
                <w:color w:val="000000"/>
              </w:rPr>
              <w:t>《陕西省自然资源厅陕西省生态环境厅陕西省林业局关于加强生态保护红线管理的通知（试行）》（陕自然资规〔</w:t>
            </w:r>
            <w:r>
              <w:rPr>
                <w:rFonts w:ascii="仿宋_GB2312" w:hAnsi="仿宋_GB2312" w:cs="仿宋_GB2312" w:eastAsia="仿宋_GB2312"/>
                <w:sz w:val="24"/>
                <w:color w:val="000000"/>
              </w:rPr>
              <w:t>2023〕2 号）；</w:t>
            </w:r>
          </w:p>
          <w:p>
            <w:pPr>
              <w:pStyle w:val="null3"/>
              <w:jc w:val="left"/>
            </w:pPr>
            <w:r>
              <w:rPr>
                <w:rFonts w:ascii="仿宋_GB2312" w:hAnsi="仿宋_GB2312" w:cs="仿宋_GB2312" w:eastAsia="仿宋_GB2312"/>
                <w:sz w:val="24"/>
                <w:color w:val="000000"/>
              </w:rPr>
              <w:t>《陕西省林业局关于印发自然公园内开展人为活动管理规定（暂行）的通知》（陕林护发〔</w:t>
            </w:r>
            <w:r>
              <w:rPr>
                <w:rFonts w:ascii="仿宋_GB2312" w:hAnsi="仿宋_GB2312" w:cs="仿宋_GB2312" w:eastAsia="仿宋_GB2312"/>
                <w:sz w:val="24"/>
                <w:color w:val="000000"/>
              </w:rPr>
              <w:t>2024〕83 号）</w:t>
            </w:r>
          </w:p>
          <w:p>
            <w:pPr>
              <w:pStyle w:val="null3"/>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、质量保证</w:t>
            </w:r>
          </w:p>
          <w:p>
            <w:pPr>
              <w:pStyle w:val="null3"/>
            </w:pPr>
            <w:r>
              <w:rPr>
                <w:rFonts w:ascii="仿宋_GB2312" w:hAnsi="仿宋_GB2312" w:cs="仿宋_GB2312" w:eastAsia="仿宋_GB2312"/>
                <w:sz w:val="24"/>
                <w:color w:val="000000"/>
              </w:rPr>
              <w:t>本次项目成交单位根据项目所需进行服务，所提交的成果应符合国家现行有关标准、规范的规定，并对所提交成果承担相应的法津责任。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成果提交后，协助采购人取得上级主管部门批复文件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供应商须具备国家行政主管部门颁发的土地规划乙级（含乙级）及以上或测绘乙级（含乙级）及以上资质；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投标人应根据本项目的实际情况，提出切合实际有针对性的服务方案，服务方案应包括但不限于方案编制、对突发事件的应急预案等。 （1）服务方案内容全面详细，针对性强，能完全满足本项目采购要求的计13.1-20分； （2）服务方案内容基本全面详细，基本满足本项目需求的计 6.1-13分； （3）项目实施方案内容有缺陷，不能完全满足本项目需求的计1-6分； （3）未进行描述的本项不得分。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成果文件应满足本项目服务内容，工作安排与质量保证措施要求详尽、质量控制程序规范，且针对本项目提供质量保证承诺。 （1）措施编制科学合理、完善详尽，可行性强的计 10.1-15 分； （2）措施编制基本合理、基本可行的计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进度计划和服务周期目标</w:t>
            </w:r>
          </w:p>
        </w:tc>
        <w:tc>
          <w:tcPr>
            <w:tcW w:type="dxa" w:w="2492"/>
          </w:tcPr>
          <w:p>
            <w:pPr>
              <w:pStyle w:val="null3"/>
            </w:pPr>
            <w:r>
              <w:rPr>
                <w:rFonts w:ascii="仿宋_GB2312" w:hAnsi="仿宋_GB2312" w:cs="仿宋_GB2312" w:eastAsia="仿宋_GB2312"/>
              </w:rPr>
              <w:t>提供合理、可行的项目进度计划，要求进度计划满足采购人提出的项目 进度要求，且节点清晰，控制措施合理。 （1）措施编制科学合理、完善详尽，可行性强的计 10.1-15 分； （2）措施编制基本合理可行的计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重点及难点 的分析以及拟采用的解决方案</w:t>
            </w:r>
          </w:p>
        </w:tc>
        <w:tc>
          <w:tcPr>
            <w:tcW w:type="dxa" w:w="2492"/>
          </w:tcPr>
          <w:p>
            <w:pPr>
              <w:pStyle w:val="null3"/>
            </w:pPr>
            <w:r>
              <w:rPr>
                <w:rFonts w:ascii="仿宋_GB2312" w:hAnsi="仿宋_GB2312" w:cs="仿宋_GB2312" w:eastAsia="仿宋_GB2312"/>
              </w:rPr>
              <w:t>对本项目工作重点及难点的分析以及拟采用的解决方案和合理化建议，横向比较，进行赋分。 （1）分析及建议方案合理可行，有针对性，符合项目需求，得 7.1-10 分； （2）分析及建议方案粗略可操作性一般，得 4.1-7 分； （3）分析及建议方案粗略可操作性不足，得 1-4 分； （4）未进行描述的本项不得分。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后期服务配合计划完备、可行性强，能满足采购人要求，保证随叫随到，为采购人提供相关技术咨询、优化建议等措施。配合采购人提供相应的成果及相关材料。 （1）后期服务配合计划完备、可行性强、可操作性强、细节描述详细且响应及时的计 5.1-10 分； （2）后期服务配合计划完备、细节描述存在不足且响应不及时的 1-5分； （3）未进行描述的本项不得分。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根据采购文件要求对本次服务做出相应承诺。 （1）完全满足项目要求，且提出更优化的服务目标5.1-8分； （2）基本满足项目要求，且提出更优化的服务目标3.1-5分； （3）基本满足项目要求，未提出其他服务目标1-3分； （4）未进行描述的本项不得分。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供应商提供2023年1月1日以来（以合同签订时间为准）的类似项目业绩，每提供一个业绩得2分，最多得4分。（提供合同或中标通知书复印件）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根据供应商的团队人员配备情况进行评审： 1. 项目负责人具有相关专业高级工程师得 4 分，具有相关专业中级工程师职称得 2 分； 2. 拟派项目团队人员（不含项目负责人）：具有相关专业初级及以上工程师职称，每提供1人得2分，最高4分。 备注：须提供身份证、职称证书。</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