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版本号：ZC2026-FW-02920260122001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三合镇至马道镇（城固段）公路工程桥梁工程洪水影响评价报告技术服务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ZC2026-FW-029</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三合镇至马道镇（城固段）公路工程桥梁工程洪水影响评价报告技术服务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ZC2026-FW-029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三合镇至马道镇（城固段）公路工程桥梁工程洪水影响评价报告技术服务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对三合镇至马道镇（城固段）公路工程桥梁工程洪水影响评价报告编制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采购包1（三合镇至马道镇（城固段）公路工程桥梁工程洪水影响评价报告技术服务）：属于专门面向中小企业采购。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1、有效的主体资格证明：供应商应为具有独立承担民事责任能力的法人、其他组织或自然人：提供合法有效的统一社会信用代码营业执照或事业单位法人证书（自然人应提供身份证明）复印件加盖供应商公章；</w:t>
      </w:r>
    </w:p>
    <w:p>
      <w:pPr>
        <w:pStyle w:val="null3"/>
      </w:pPr>
      <w:r>
        <w:rPr>
          <w:rFonts w:ascii="仿宋_GB2312" w:hAnsi="仿宋_GB2312" w:cs="仿宋_GB2312" w:eastAsia="仿宋_GB2312"/>
        </w:rPr>
        <w:t>2、法定代表人或委托代理人身份证明：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3、拟派项目负责人资格：拟派项目负责人须具有水利工程相关专业中级及以上职称；</w:t>
      </w:r>
    </w:p>
    <w:p>
      <w:pPr>
        <w:pStyle w:val="null3"/>
      </w:pPr>
      <w:r>
        <w:rPr>
          <w:rFonts w:ascii="仿宋_GB2312" w:hAnsi="仿宋_GB2312" w:cs="仿宋_GB2312" w:eastAsia="仿宋_GB2312"/>
        </w:rPr>
        <w:t>4、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18189275352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开户名称：陕西中采项目管理有限公司汉中分公司</w:t>
            </w:r>
          </w:p>
          <w:p>
            <w:pPr>
              <w:pStyle w:val="null3"/>
            </w:pPr>
            <w:r>
              <w:rPr>
                <w:rFonts w:ascii="仿宋_GB2312" w:hAnsi="仿宋_GB2312" w:cs="仿宋_GB2312" w:eastAsia="仿宋_GB2312"/>
              </w:rPr>
              <w:t>开户银行：中国建设银行股份有限公司汉中南一环路支行</w:t>
            </w:r>
          </w:p>
          <w:p>
            <w:pPr>
              <w:pStyle w:val="null3"/>
            </w:pPr>
            <w:r>
              <w:rPr>
                <w:rFonts w:ascii="仿宋_GB2312" w:hAnsi="仿宋_GB2312" w:cs="仿宋_GB2312" w:eastAsia="仿宋_GB2312"/>
              </w:rPr>
              <w:t>银行账号：61050111271100000162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联系电话：18189275352</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对三合镇至马道镇（城固段）公路工程桥梁工程洪水影响评价报告编制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三合镇至马道镇（城固段）公路工程桥梁工程洪水影响评价报告技术服务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标的名称：三合镇至马道镇（城固段）公路工程桥梁工程洪水影响评价报告技术服务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根据国家、陕西省及汉中市有关河道管理的法律、法规及管理办法，编制三合镇至马道镇（城固段）公路工程桥梁工程洪水影响评价报告及涉河建设方案。编制的洪水影响评价报告及涉河建设方案内容及深度应符合《洪水影响评价技术导则》（</w:t>
            </w:r>
            <w:r>
              <w:rPr>
                <w:rFonts w:ascii="仿宋_GB2312" w:hAnsi="仿宋_GB2312" w:cs="仿宋_GB2312" w:eastAsia="仿宋_GB2312"/>
                <w:sz w:val="21"/>
              </w:rPr>
              <w:t>SL/T808-2025）和《陕西省河道管理范围内建设项目建设方案编制规程》要求；</w:t>
            </w:r>
            <w:r>
              <w:rPr>
                <w:rFonts w:ascii="仿宋_GB2312" w:hAnsi="仿宋_GB2312" w:cs="仿宋_GB2312" w:eastAsia="仿宋_GB2312"/>
                <w:sz w:val="21"/>
              </w:rPr>
              <w:t>并负责</w:t>
            </w:r>
            <w:r>
              <w:rPr>
                <w:rFonts w:ascii="仿宋_GB2312" w:hAnsi="仿宋_GB2312" w:cs="仿宋_GB2312" w:eastAsia="仿宋_GB2312"/>
                <w:sz w:val="21"/>
              </w:rPr>
              <w:t>本项目洪水影响评价报告、涉河建设方案的上报、技术评审、报告修改完善，协助甲方取得批复性文件。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成果提交后，协助采购人取得上级主管部门批复文件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供应商应为具有独立承担民事责任能力的法人、其他组织或自然人：提供合法有效的统一社会信用代码营业执照或事业单位法人证书（自然人应提供身份证明）复印件加盖供应商公章；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拟派项目负责人须具有水利工程相关专业中级及以上职称；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商务应答表 供应商类似业绩.docx 报价表 响应文件封面 供应商应提交的相关资格证明材料.docx 残疾人福利性单位声明函 标的清单 响应函 项目团队.pdf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提供针对本项目特点的服务方案（包括但不限于项目目标、工作进度安排、工作方法、人员力量调配、质量控制等），要求方案内容详尽、进度安排合理、责任分工明确、质控措施完善有效。 1、方案内容详尽、进度安排合理、责任分工明确、质控措施完善有效,计（10.1-15）分； 2、方案内容较详尽、整体可行性较强,计（5.1-10）分； 3、方案整体一般，计（0-5）分；未提供不得分。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进度满足采购人需求，安排合理，方案质量、保障措施得当具体、针对性强、可操作性强得8.1-12分，可行性一般得4.1-8分，可行性差得1-4分；未提供不得分。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质量满足行业标准及采购人需求，方案质量、保障措施得当具体、针对性强、可操作性强得8.1-12分，可行性一般得4.1-8分，可行性差得1-4分；未提供不得分。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根据对本项目的理解，有节省投资、降低运行成本及提高运行管理质量的优化建议，建议的经济、合理可靠性建议，计1-7分；未提供不得分。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服务保障及承诺</w:t>
            </w:r>
          </w:p>
        </w:tc>
        <w:tc>
          <w:tcPr>
            <w:tcW w:type="dxa" w:w="2492"/>
          </w:tcPr>
          <w:p>
            <w:pPr>
              <w:pStyle w:val="null3"/>
            </w:pPr>
            <w:r>
              <w:rPr>
                <w:rFonts w:ascii="仿宋_GB2312" w:hAnsi="仿宋_GB2312" w:cs="仿宋_GB2312" w:eastAsia="仿宋_GB2312"/>
              </w:rPr>
              <w:t>1、服务保障（10分）： 供应商的保障服务方案响应及时、方式多样、解决问题及时有效，服务措施承诺及详尽可行的服务实施计划，并阐明可提供的咨询或后期服务内容，根据优劣程度计（5.1-10）分； 供应商的保障服务方案响应慢、方式单一、解决问题不及时的计（1-5）分。 2、持续服务保证（5分）： 针对本项目特点及采购人实际需求提供详细、具体、可行的有针对性的持续服务保证措施。 ①、措施内容完善、描述具体、可行性强，计（3.1-5）分； ②、措施内容整体一般，计（0-3）分；未提供不得分。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结合本项目特点及实际情况，提供具有针对性的重难点分析、技术建议及对策措施。 ①、重点和难点把握准确、分析清楚，建议及对策措施具有针对性、可行性、科学性,计（7.1-10）分； ②、重点和难点把握基本准确、分析合理，建议及对策措施针对性一般,计（4.1-7）分； ③、重点和难点把握基本准确、分析不到位，建议及对策措施存在偏差，针对性不强,计（1-4）分；未提供不得分。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具有完善的内部管理制度，根据响应程度方案完整、清晰、逻辑性强计6.1-8分；方案较完整、清晰、逻辑性较强计3.1-6分；方案基本完整、清晰、逻辑性一般计1-3分，未提供不得分。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备稳定的项目服务机构，针对本项目设立专门的技术服务团队，并提供了人员名单，团队人员专业性强或具备类似项目经验，且配备合理，职责分工明确，专业性强人员素质高，服务优良，满足项目需求，根据响应程度思路清晰合理、可行性强计4.1-6分；思路较清晰合理、可行性较强计2.1-4分；思路清晰合理一般、可行性一般计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供应商提供2022年1月以来（以合同签订时间为准）的类似洪水影响评价项目业绩，每提供一个业绩得2.5分，最多得5分。（提供合同或中标通知书复印件）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详见附件：项目团队.pdf</w:t>
      </w:r>
    </w:p>
    <w:p>
      <w:pPr>
        <w:pStyle w:val="null3"/>
        <w:ind w:firstLine="960"/>
      </w:pPr>
      <w:r>
        <w:rPr>
          <w:rFonts w:ascii="仿宋_GB2312" w:hAnsi="仿宋_GB2312" w:cs="仿宋_GB2312" w:eastAsia="仿宋_GB2312"/>
        </w:rPr>
        <w:t>详见附件：供应商类似业绩.docx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