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版本号：YSY2026-CG-00620260122001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G316城固汉江特大桥及引线工程施工过程水土流失监测技术服务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YSY2026-CG-006</w:t>
      </w:r>
      <w:r>
        <w:br/>
      </w:r>
      <w:r>
        <w:br/>
      </w:r>
      <w:r>
        <w:br/>
      </w:r>
    </w:p>
    <w:p>
      <w:pPr>
        <w:pStyle w:val="null3"/>
        <w:jc w:val="center"/>
        <w:outlineLvl w:val="2"/>
      </w:pPr>
      <w:r>
        <w:rPr>
          <w:rFonts w:ascii="仿宋_GB2312" w:hAnsi="仿宋_GB2312" w:cs="仿宋_GB2312" w:eastAsia="仿宋_GB2312"/>
          <w:sz w:val="28"/>
          <w:b/>
        </w:rPr>
        <w:t>城固县交通运输局</w:t>
      </w:r>
    </w:p>
    <w:p>
      <w:pPr>
        <w:pStyle w:val="null3"/>
        <w:jc w:val="center"/>
        <w:outlineLvl w:val="2"/>
      </w:pPr>
      <w:r>
        <w:rPr>
          <w:rFonts w:ascii="仿宋_GB2312" w:hAnsi="仿宋_GB2312" w:cs="仿宋_GB2312" w:eastAsia="仿宋_GB2312"/>
          <w:sz w:val="28"/>
          <w:b/>
        </w:rPr>
        <w:t>陕西亿胜元项目管理有限公司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陕西亿胜元项目管理有限公司</w:t>
      </w:r>
      <w:r>
        <w:rPr>
          <w:rFonts w:ascii="仿宋_GB2312" w:hAnsi="仿宋_GB2312" w:cs="仿宋_GB2312" w:eastAsia="仿宋_GB2312"/>
        </w:rPr>
        <w:t>（以下简称“代理机构”）受</w:t>
      </w:r>
      <w:r>
        <w:rPr>
          <w:rFonts w:ascii="仿宋_GB2312" w:hAnsi="仿宋_GB2312" w:cs="仿宋_GB2312" w:eastAsia="仿宋_GB2312"/>
        </w:rPr>
        <w:t>城固县交通运输局</w:t>
      </w:r>
      <w:r>
        <w:rPr>
          <w:rFonts w:ascii="仿宋_GB2312" w:hAnsi="仿宋_GB2312" w:cs="仿宋_GB2312" w:eastAsia="仿宋_GB2312"/>
        </w:rPr>
        <w:t>委托，拟对</w:t>
      </w:r>
      <w:r>
        <w:rPr>
          <w:rFonts w:ascii="仿宋_GB2312" w:hAnsi="仿宋_GB2312" w:cs="仿宋_GB2312" w:eastAsia="仿宋_GB2312"/>
        </w:rPr>
        <w:t>G316城固汉江特大桥及引线工程施工过程水土流失监测技术服务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YSY2026-CG-006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G316城固汉江特大桥及引线工程施工过程水土流失监测技术服务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 xml:space="preserve"> 对G316城固汉江特大桥及引线工程施工过程水土流失监测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采购包1（G316城固汉江特大桥及引线工程施工过程水土流失监测技术服务）：属于专门面向中小企业采购。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1、有效的主体资格证明：供应商为具有独立承担民事责任能力的企业法人、事业法人、其他组织，提供营业执照（事业单位须事业单位法人证、组织机构代码证等证明文件；其他组织应提供合法证明文件）；</w:t>
      </w:r>
    </w:p>
    <w:p>
      <w:pPr>
        <w:pStyle w:val="null3"/>
      </w:pPr>
      <w:r>
        <w:rPr>
          <w:rFonts w:ascii="仿宋_GB2312" w:hAnsi="仿宋_GB2312" w:cs="仿宋_GB2312" w:eastAsia="仿宋_GB2312"/>
        </w:rPr>
        <w:t>2、法定代表人或委托代理人身份证明：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汉中市政府采购供应商资格承诺函：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4、非联合体书面声明：本项目不接受联合体投标；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城固县西环一路中段15号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城固县交通运输局经办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0916-7212904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陕西亿胜元项目管理有限公司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汉中市汉台区东一环与风景路交汇处中饮办公中心C区-8F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0916-2102199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开户名称：陕西亿胜元项目管理有限公司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银行账号：102513126064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城固县交通运输局</w:t>
      </w:r>
      <w:r>
        <w:rPr>
          <w:rFonts w:ascii="仿宋_GB2312" w:hAnsi="仿宋_GB2312" w:cs="仿宋_GB2312" w:eastAsia="仿宋_GB2312"/>
        </w:rPr>
        <w:t>和</w:t>
      </w:r>
      <w:r>
        <w:rPr>
          <w:rFonts w:ascii="仿宋_GB2312" w:hAnsi="仿宋_GB2312" w:cs="仿宋_GB2312" w:eastAsia="仿宋_GB2312"/>
        </w:rPr>
        <w:t>陕西亿胜元项目管理有限公司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陕西亿胜元项目管理有限公司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城固县交通运输局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陕西亿胜元项目管理有限公司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根据具体工作内容的相关标准进行验收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陕西亿胜元项目管理有限公司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联系人：龚工</w:t>
      </w:r>
    </w:p>
    <w:p>
      <w:pPr>
        <w:pStyle w:val="null3"/>
      </w:pPr>
      <w:r>
        <w:rPr>
          <w:rFonts w:ascii="仿宋_GB2312" w:hAnsi="仿宋_GB2312" w:cs="仿宋_GB2312" w:eastAsia="仿宋_GB2312"/>
        </w:rPr>
        <w:t>联系电话：0916-2102199</w:t>
      </w:r>
    </w:p>
    <w:p>
      <w:pPr>
        <w:pStyle w:val="null3"/>
      </w:pPr>
      <w:r>
        <w:rPr>
          <w:rFonts w:ascii="仿宋_GB2312" w:hAnsi="仿宋_GB2312" w:cs="仿宋_GB2312" w:eastAsia="仿宋_GB2312"/>
        </w:rPr>
        <w:t>地址：汉中市汉台区东一环与风景路交汇处中饮办公中心C区-8F</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对G316城固汉江特大桥及引线工程施工过程水土流失监测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G316城固汉江特大桥及引线工程施工过程水土流失监测技术服务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标的名称：G316城固汉江特大桥及引线工程施工过程水土流失监测技术服务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一、服务内容</w:t>
            </w:r>
          </w:p>
          <w:p>
            <w:pPr>
              <w:pStyle w:val="null3"/>
              <w:ind w:firstLine="420"/>
              <w:jc w:val="both"/>
            </w:pPr>
            <w:r>
              <w:rPr>
                <w:rFonts w:ascii="仿宋_GB2312" w:hAnsi="仿宋_GB2312" w:cs="仿宋_GB2312" w:eastAsia="仿宋_GB2312"/>
                <w:sz w:val="21"/>
              </w:rPr>
              <w:t>1、监测区域：涵盖项目全部施工区（含主体工程区、弃渣场区、临时设施区、取土场区等）及周边可能受影响区域。</w:t>
            </w:r>
          </w:p>
          <w:p>
            <w:pPr>
              <w:pStyle w:val="null3"/>
              <w:ind w:firstLine="420"/>
              <w:jc w:val="both"/>
            </w:pPr>
            <w:r>
              <w:rPr>
                <w:rFonts w:ascii="仿宋_GB2312" w:hAnsi="仿宋_GB2312" w:cs="仿宋_GB2312" w:eastAsia="仿宋_GB2312"/>
                <w:sz w:val="21"/>
              </w:rPr>
              <w:t>2.、监测内容</w:t>
            </w:r>
          </w:p>
          <w:p>
            <w:pPr>
              <w:pStyle w:val="null3"/>
              <w:ind w:firstLine="420"/>
              <w:jc w:val="both"/>
            </w:pPr>
            <w:r>
              <w:rPr>
                <w:rFonts w:ascii="仿宋_GB2312" w:hAnsi="仿宋_GB2312" w:cs="仿宋_GB2312" w:eastAsia="仿宋_GB2312"/>
                <w:sz w:val="21"/>
              </w:rPr>
              <w:t>基础环境监测：施工前地形地貌、土壤类型、植被覆盖度等本底数据调查。</w:t>
            </w:r>
          </w:p>
          <w:p>
            <w:pPr>
              <w:pStyle w:val="null3"/>
              <w:ind w:firstLine="420"/>
              <w:jc w:val="both"/>
            </w:pPr>
            <w:r>
              <w:rPr>
                <w:rFonts w:ascii="仿宋_GB2312" w:hAnsi="仿宋_GB2312" w:cs="仿宋_GB2312" w:eastAsia="仿宋_GB2312"/>
                <w:sz w:val="21"/>
              </w:rPr>
              <w:t>动态过程监测：施工扰动范围、土方开挖</w:t>
            </w:r>
            <w:r>
              <w:rPr>
                <w:rFonts w:ascii="仿宋_GB2312" w:hAnsi="仿宋_GB2312" w:cs="仿宋_GB2312" w:eastAsia="仿宋_GB2312"/>
                <w:sz w:val="21"/>
              </w:rPr>
              <w:t>/回填量、弃渣量的动态记录；降雨、径流等气象水文要素监测。</w:t>
            </w:r>
          </w:p>
          <w:p>
            <w:pPr>
              <w:pStyle w:val="null3"/>
              <w:ind w:firstLine="420"/>
              <w:jc w:val="both"/>
            </w:pPr>
            <w:r>
              <w:rPr>
                <w:rFonts w:ascii="仿宋_GB2312" w:hAnsi="仿宋_GB2312" w:cs="仿宋_GB2312" w:eastAsia="仿宋_GB2312"/>
                <w:sz w:val="21"/>
              </w:rPr>
              <w:t>水土流失监测：土壤侵蚀模数、水土流失量计算；监测点（如径流小区、沉砂池）的定期数据采集。</w:t>
            </w:r>
          </w:p>
          <w:p>
            <w:pPr>
              <w:pStyle w:val="null3"/>
              <w:ind w:firstLine="420"/>
              <w:jc w:val="both"/>
            </w:pPr>
            <w:r>
              <w:rPr>
                <w:rFonts w:ascii="仿宋_GB2312" w:hAnsi="仿宋_GB2312" w:cs="仿宋_GB2312" w:eastAsia="仿宋_GB2312"/>
                <w:sz w:val="21"/>
              </w:rPr>
              <w:t>防治措施监测：挡土墙、排水沟、植被恢复等水土保持设施的建设进度、质量及运行效果评估。</w:t>
            </w:r>
          </w:p>
          <w:p>
            <w:pPr>
              <w:pStyle w:val="null3"/>
              <w:jc w:val="both"/>
            </w:pPr>
            <w:r>
              <w:rPr>
                <w:rFonts w:ascii="仿宋_GB2312" w:hAnsi="仿宋_GB2312" w:cs="仿宋_GB2312" w:eastAsia="仿宋_GB2312"/>
                <w:sz w:val="21"/>
                <w:b/>
              </w:rPr>
              <w:t>二、服务要求（包括成果文件要求）</w:t>
            </w:r>
          </w:p>
          <w:p>
            <w:pPr>
              <w:pStyle w:val="null3"/>
              <w:ind w:firstLine="420"/>
              <w:jc w:val="both"/>
            </w:pPr>
            <w:r>
              <w:rPr>
                <w:rFonts w:ascii="仿宋_GB2312" w:hAnsi="仿宋_GB2312" w:cs="仿宋_GB2312" w:eastAsia="仿宋_GB2312"/>
                <w:sz w:val="21"/>
              </w:rPr>
              <w:t>1、技术要求：采用“现场巡查+定点监测+遥感监测”结合方式，监测频次需满足规范（如雨季每月至少1次，旱季每季度至少1次）。</w:t>
            </w:r>
          </w:p>
          <w:p>
            <w:pPr>
              <w:pStyle w:val="null3"/>
              <w:ind w:firstLine="420"/>
              <w:jc w:val="both"/>
            </w:pPr>
            <w:r>
              <w:rPr>
                <w:rFonts w:ascii="仿宋_GB2312" w:hAnsi="仿宋_GB2312" w:cs="仿宋_GB2312" w:eastAsia="仿宋_GB2312"/>
                <w:sz w:val="21"/>
              </w:rPr>
              <w:t>2、成果要求：每季提交《施工期水土保持监测季报》，项目结束后提交《水土保持监测总结报告》，报告需包含数据图表、风险分析及整改建议。</w:t>
            </w:r>
          </w:p>
          <w:p>
            <w:pPr>
              <w:pStyle w:val="null3"/>
              <w:jc w:val="both"/>
            </w:pPr>
            <w:r>
              <w:rPr>
                <w:rFonts w:ascii="仿宋_GB2312" w:hAnsi="仿宋_GB2312" w:cs="仿宋_GB2312" w:eastAsia="仿宋_GB2312"/>
                <w:sz w:val="21"/>
                <w:b/>
              </w:rPr>
              <w:t>三、服务标准</w:t>
            </w:r>
          </w:p>
          <w:p>
            <w:pPr>
              <w:pStyle w:val="null3"/>
              <w:ind w:firstLine="420"/>
              <w:jc w:val="both"/>
            </w:pPr>
            <w:r>
              <w:rPr>
                <w:rFonts w:ascii="仿宋_GB2312" w:hAnsi="仿宋_GB2312" w:cs="仿宋_GB2312" w:eastAsia="仿宋_GB2312"/>
                <w:sz w:val="21"/>
              </w:rPr>
              <w:t>1、监测数据真实、完整，符合《水土保持监测技术规程》（SL 277）要求。</w:t>
            </w:r>
          </w:p>
          <w:p>
            <w:pPr>
              <w:pStyle w:val="null3"/>
              <w:ind w:firstLine="420"/>
              <w:jc w:val="both"/>
            </w:pPr>
            <w:r>
              <w:rPr>
                <w:rFonts w:ascii="仿宋_GB2312" w:hAnsi="仿宋_GB2312" w:cs="仿宋_GB2312" w:eastAsia="仿宋_GB2312"/>
                <w:sz w:val="21"/>
              </w:rPr>
              <w:t>2、监测报告通过项目业主及水利主管部门审核，可作为水土保持设施验收的依据。</w:t>
            </w:r>
          </w:p>
          <w:p>
            <w:pPr>
              <w:pStyle w:val="null3"/>
              <w:jc w:val="both"/>
            </w:pPr>
            <w:r>
              <w:rPr>
                <w:rFonts w:ascii="仿宋_GB2312" w:hAnsi="仿宋_GB2312" w:cs="仿宋_GB2312" w:eastAsia="仿宋_GB2312"/>
                <w:sz w:val="21"/>
                <w:b/>
              </w:rPr>
              <w:t>四、服务期</w:t>
            </w:r>
          </w:p>
          <w:p>
            <w:pPr>
              <w:pStyle w:val="null3"/>
            </w:pPr>
            <w:r>
              <w:rPr>
                <w:rFonts w:ascii="仿宋_GB2312" w:hAnsi="仿宋_GB2312" w:cs="仿宋_GB2312" w:eastAsia="仿宋_GB2312"/>
                <w:sz w:val="21"/>
              </w:rPr>
              <w:t>从合同签订之日起至工程竣工。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从合同签订之日起至工程竣工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符合国家相关规范、标准及要求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水土保持工程施工进度达到50%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完成本项目水土保持监测工作并提交&lt;&lt;水土保持监测季报&gt;、&lt;&lt;水土保持监测总结报告</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甲乙双方在合同履行中发生争议，应通过协商解决。如协商不成，可以向甲方所在地有管辖权的人民法院提起诉讼。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供应商为具有独立承担民事责任能力的企业法人、事业法人、其他组织，提供营业执照（事业单位须事业单位法人证、组织机构代码证等证明文件；其他组织应提供合法证明文件）；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法定代表人或委托代理人身份证明</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非联合体书面声明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按磋商文件格式要求加盖了供应商公章和有法定代表人（或单位负责人）或其授权代表签字或加盖人名章</w:t>
            </w:r>
          </w:p>
        </w:tc>
        <w:tc>
          <w:tcPr>
            <w:tcW w:type="dxa" w:w="1661"/>
          </w:tcPr>
          <w:p>
            <w:pPr>
              <w:pStyle w:val="null3"/>
            </w:pPr>
            <w:r>
              <w:rPr>
                <w:rFonts w:ascii="仿宋_GB2312" w:hAnsi="仿宋_GB2312" w:cs="仿宋_GB2312" w:eastAsia="仿宋_GB2312"/>
              </w:rPr>
              <w:t>技术服务方案.docx 服务内容及服务邀请应答表 中小企业声明函 项目团队.docx 商务应答表 供应商类似业绩.docx 报价表 响应文件封面 供应商应提交的相关资格证明材料.docx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 择性报价，且报价不超过采购预算 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项目总体方案</w:t>
            </w:r>
          </w:p>
        </w:tc>
        <w:tc>
          <w:tcPr>
            <w:tcW w:type="dxa" w:w="2492"/>
          </w:tcPr>
          <w:p>
            <w:pPr>
              <w:pStyle w:val="null3"/>
            </w:pPr>
            <w:r>
              <w:rPr>
                <w:rFonts w:ascii="仿宋_GB2312" w:hAnsi="仿宋_GB2312" w:cs="仿宋_GB2312" w:eastAsia="仿宋_GB2312"/>
              </w:rPr>
              <w:t>供应商提供本项目详细总体方案（包含但不限于：对项目基本情况的了解（6分）、政策依据（6分）、工作总体思路（6分）、针对本项目的准备工作（6分）、具体的工作方案（6分））； 评审依据：每提供1项且内容全面、完全满足项目需求得6分；其中每项内容或提供材料有缺陷（缺陷是指：表述不清、不切实际、内容空泛等）扣1分，扣完为止；内容或提供材料有缺失（缺失是指：表述无、或表述错误、凭空编造等）的得0分；共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项目重点难点分析、应对措施</w:t>
            </w:r>
          </w:p>
        </w:tc>
        <w:tc>
          <w:tcPr>
            <w:tcW w:type="dxa" w:w="2492"/>
          </w:tcPr>
          <w:p>
            <w:pPr>
              <w:pStyle w:val="null3"/>
            </w:pPr>
            <w:r>
              <w:rPr>
                <w:rFonts w:ascii="仿宋_GB2312" w:hAnsi="仿宋_GB2312" w:cs="仿宋_GB2312" w:eastAsia="仿宋_GB2312"/>
              </w:rPr>
              <w:t>对项目重点、难点进行分析，对现状关键性问题分析论证透彻，提出科学合理的解决方案。（包含但不限于：对项目重点和难点的理解（6分）、对项目的应对防范措施（6分）） 评审依据：每提供1项且内容全面、完全满足项目需求得6分；其中每项内容或提供材料有缺陷（缺陷是指：表述不清、不切实际、内容空泛等）扣1分，扣完为止；内容或提供材料有缺失（缺失是指：表述无、或表述错误、凭空编造等）的得0分；共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项目进度计划方案</w:t>
            </w:r>
          </w:p>
        </w:tc>
        <w:tc>
          <w:tcPr>
            <w:tcW w:type="dxa" w:w="2492"/>
          </w:tcPr>
          <w:p>
            <w:pPr>
              <w:pStyle w:val="null3"/>
            </w:pPr>
            <w:r>
              <w:rPr>
                <w:rFonts w:ascii="仿宋_GB2312" w:hAnsi="仿宋_GB2312" w:cs="仿宋_GB2312" w:eastAsia="仿宋_GB2312"/>
              </w:rPr>
              <w:t>包含但不限于：（1）项目周期及阶段安排（5分），（2）各阶段工作计划安排（5分）。 评审依据：每提供1项且内容全面、完全满足项目需求得5分；其中每项内容或提供材料有缺陷（缺陷是指：表述不清、不切实际、内容空泛等）扣1分，扣完为止；内容或提供材料有缺失（缺失是指：表述无、或表述错误、凭空编造等）的得0分；共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供应商提供针对本项目质量保障承诺（包含但不限于：项目服务质量（6分）、质量保证措施（6分）、质量管理体系（6分）） 评审依据：每提供1项且内容全面、完全满足项目需求得6分；其中每项内容或提供材料有缺陷（缺陷是指：表述不清、不切实际、内容空泛等）扣1分，扣完为止；内容或提供材料有缺失（缺失是指：表述无、或表述错误、凭空编造等）的得0分；共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项目组织机构及职责分工</w:t>
            </w:r>
          </w:p>
        </w:tc>
        <w:tc>
          <w:tcPr>
            <w:tcW w:type="dxa" w:w="2492"/>
          </w:tcPr>
          <w:p>
            <w:pPr>
              <w:pStyle w:val="null3"/>
            </w:pPr>
            <w:r>
              <w:rPr>
                <w:rFonts w:ascii="仿宋_GB2312" w:hAnsi="仿宋_GB2312" w:cs="仿宋_GB2312" w:eastAsia="仿宋_GB2312"/>
              </w:rPr>
              <w:t>根据供应商提供的组织机构设置完整、结构合理、职能配置明确、分工清晰进行综合评审。 评审依据：内容全面、完全满足项目需求得6分；其中每项内容或提供材料有缺陷（缺陷是指：表述不清、不切实际、内容空泛等）扣1分，扣完为止；内容或提供材料有缺失（缺失是指：表述无、或表述错误、凭空编造等）的得0分；共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技术服务方案.docx</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根据供应商的团队人员配备情况进行评审： 1、拟派项目负责人具备工程师及以上资格得3分，其他不得分。 2、拟派项目组成员（除项目负责人外）具有相关专业中级及以上职称每提供1名得2分，最高得6分。 备注：须提供身份证、职称证书复印件或扫描件。</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供应商提供2023年1月1日以来（以合同签订时间为准）的类似项目业绩，每提供一个业绩得2.5分，最多得5分。（提供合同或中标通知书复印件）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满足磋商文件要求且最后各家最终磋商价格的最低值为评标基准价，其价格分为满分。 磋商报价得分=（评审基准价／磋商二次报价）×价格权值×100。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详见附件：供应商类似业绩.docx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详见附件：技术服务方案.docx</w:t>
      </w:r>
    </w:p>
    <w:p>
      <w:pPr>
        <w:pStyle w:val="null3"/>
        <w:ind w:firstLine="960"/>
      </w:pPr>
      <w:r>
        <w:rPr>
          <w:rFonts w:ascii="仿宋_GB2312" w:hAnsi="仿宋_GB2312" w:cs="仿宋_GB2312" w:eastAsia="仿宋_GB2312"/>
        </w:rPr>
        <w:t>详见附件：项目团队.docx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详见附件：合同条款及合同文件格式.docx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