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版本号：SXWB-ZFCG-CG-[2026]00220260126002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五门堰片区高质量发展战略策划及概念性规划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SXWB-ZFCG-CG-[2026]002</w:t>
      </w:r>
      <w:r>
        <w:br/>
      </w:r>
      <w:r>
        <w:br/>
      </w:r>
      <w:r>
        <w:br/>
      </w:r>
    </w:p>
    <w:p>
      <w:pPr>
        <w:pStyle w:val="null3"/>
        <w:jc w:val="center"/>
        <w:outlineLvl w:val="2"/>
      </w:pPr>
      <w:r>
        <w:rPr>
          <w:rFonts w:ascii="仿宋_GB2312" w:hAnsi="仿宋_GB2312" w:cs="仿宋_GB2312" w:eastAsia="仿宋_GB2312"/>
          <w:sz w:val="28"/>
          <w:b/>
        </w:rPr>
        <w:t>城固县文化和旅游局</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城固县文化和旅游局</w:t>
      </w:r>
      <w:r>
        <w:rPr>
          <w:rFonts w:ascii="仿宋_GB2312" w:hAnsi="仿宋_GB2312" w:cs="仿宋_GB2312" w:eastAsia="仿宋_GB2312"/>
        </w:rPr>
        <w:t>委托，拟对</w:t>
      </w:r>
      <w:r>
        <w:rPr>
          <w:rFonts w:ascii="仿宋_GB2312" w:hAnsi="仿宋_GB2312" w:cs="仿宋_GB2312" w:eastAsia="仿宋_GB2312"/>
        </w:rPr>
        <w:t>五门堰片区高质量发展战略策划及概念性规划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SXWB-ZFCG-CG-[2026]002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五门堰片区高质量发展战略策划及概念性规划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方案规划范围约49338.23亩，依托五门堰作为世界灌溉工程遗产的资源本底价值，片区产业、资源现状，构建五门堰片区高质量发展的整体战略与实施步骤，实现从单一旅游开发到区域性综合开发的升级，实现资源资源整合、三产融合升级和民生融合发展，最终塑造“五门堰世界灌溉工程遗产”整体品牌形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采购包1（五门堰片区高质量发展战略策划及概念性规划）：属于专门面向中小企业采购。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城固县文化和旅游局经办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城固县文化和旅游局</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联系人：张玮</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方案规划范围约49338.23亩，依托五门堰作为世界灌溉工程遗产的资源本底价值，片区产业、资源现状，构建五门堰片区高质量发展的整体战略与实施步骤，实现从单一旅游开发到区域性综合开发的升级，实现资源资源整合、三产融合升级和民生融合发展，最终塑造“五门堰世界灌溉工程遗产”整体品牌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五门堰片区高质量发展战略策划及概念性规划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标的名称：五门堰片区高质量发展战略策划及概念性规划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pPr>
            <w:r>
              <w:rPr>
                <w:rFonts w:ascii="仿宋_GB2312" w:hAnsi="仿宋_GB2312" w:cs="仿宋_GB2312" w:eastAsia="仿宋_GB2312"/>
                <w:sz w:val="21"/>
              </w:rPr>
              <w:t>依托五门堰世界灌溉工程遗产资源本底，拓展桔园景区、杨填堰历史遗址及周边村镇，针对约</w:t>
            </w:r>
            <w:r>
              <w:rPr>
                <w:rFonts w:ascii="仿宋_GB2312" w:hAnsi="仿宋_GB2312" w:cs="仿宋_GB2312" w:eastAsia="仿宋_GB2312"/>
                <w:sz w:val="21"/>
              </w:rPr>
              <w:t>49338.23亩规划片区，通过系统性战略框架构建与分阶段实施路径设计，优化空间功能分区与产业布局，实现水利遗产保护性开发与生态协同机制相融合，体现三产融合（农业、文旅、文创）创新模式设计，以及民生改善与社区共建机制。技术要求方案需具备遗产活化利用的前瞻性、多规合一的可操作性，突出资源整合效能、产业价值链提升和民生福祉联动，符合文化遗产保护与区域可持续发展双重标准，塑造"五门堰世界灌溉工程遗产"整体品牌形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1、成交投标人对最终的服务质量负完全责任。2、验收依据:(1)合同;(2)国家有关的验收标准及规范(3)招标文件、投标文件。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完成全部服务内容后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内容包含：①项目理解；②政策情况把握；③项目分析和定位；④项目策划思路；⑤设计思路。每提供一项最高得6分，本项最高得30分。每缺少一项内容扣6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针对本项目提供进度控制方案，内容包含：①项目总体计划安排；②提供服务的工期及进度计划；③任务拆解与衔接；④项目进度保障措施；⑤进度应急预案。每提供一项最高得5分，本项最高得25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针对本项目提供质量保障措施，内容包含：①质量保障措施；②质量过程控制；③成果验收；④后续服务工作安排计划。 每提供一项最高得5分，本项最高得20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满足项目需求的团队结构设置，拟投入本项目的成员及项目经验；②团队内各成员的岗位职责设置。每提供一项最高得5分，本项最高得10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提供供应商2023年1月1日（以签订日期为准）至今同类项目业绩合同复印件或中标通知书并加盖公章，每份计2.5分，满分5分。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详见附件：类似项目业绩情况表.docx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