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版本号：ZC2026-FW-03020260123001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三合镇至马道镇（城固段）公路工程对湑水河国家级水产种质资源保护区影响专题论证技术服务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ZC2026-FW-030</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三合镇至马道镇（城固段）公路工程对湑水河国家级水产种质资源保护区影响专题论证技术服务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三合镇至马道镇（城固段）公路工程对湑水河国家级水产种质资源保护区影响专题论证技术服务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对三合镇至马道镇（城固段）公路工程对湑水河国家级水产种质资源保护区影响专题论证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采购包1（三合镇至马道镇（城固段）公路工程对湑水河国家级水产种质资源保护区影响专题论证技术服务）：属于专门面向中小企业采购。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对三合镇至马道镇（城固段）公路工程对湑水河国家级水产种质资源保护区影响专题论证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三合镇至马道镇（城固段）公路工程对湑水河国家级水产种质资源保护区影响专题论证技术服务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标的名称：三合镇至马道镇（城固段）公路工程对湑水河国家级水产种质资源保护区影响专题论证技术服务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（一）服务内容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、全面了解评价区水生生态现状，包括水域环境特征、水生生物的种类组成、生物量及物种多样性等；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现场采样调查涉水工程水域水质生化特性，分析水生生物的种类组成、资源量，鱼类“三场”分布及主要保护对象的生长繁育习性，评价本工程施工及运行对保护区的水生生物的物种资源、种群结构、生物多样性和主要保护对象及保护区功能的影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、结合工程带来的不良影响，提出有针对性和可行性的保护措施，以保护该水产种质资源保护区河段的水生生态环境和鱼类资源，实现社会经济建设和生态环境建设的协调发展。</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、水生生物评价技术方法参考《建设项目对国家级水产种质资源保护区（淡水）影响专题论证报告编制指南（试行）》。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、按照相关规范要求编制并提交《专题报告》。</w:t>
            </w:r>
          </w:p>
          <w:p>
            <w:pPr>
              <w:pStyle w:val="null3"/>
              <w:jc w:val="both"/>
            </w:pPr>
            <w:r>
              <w:rPr>
                <w:rFonts w:ascii="仿宋_GB2312" w:hAnsi="仿宋_GB2312" w:cs="仿宋_GB2312" w:eastAsia="仿宋_GB2312"/>
                <w:sz w:val="21"/>
              </w:rPr>
              <w:t>（三）成果要求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、合同签订后</w:t>
            </w:r>
            <w:r>
              <w:rPr>
                <w:rFonts w:ascii="仿宋_GB2312" w:hAnsi="仿宋_GB2312" w:cs="仿宋_GB2312" w:eastAsia="仿宋_GB2312"/>
                <w:sz w:val="21"/>
              </w:rPr>
              <w:t>30</w:t>
            </w:r>
            <w:r>
              <w:rPr>
                <w:rFonts w:ascii="仿宋_GB2312" w:hAnsi="仿宋_GB2312" w:cs="仿宋_GB2312" w:eastAsia="仿宋_GB2312"/>
                <w:sz w:val="21"/>
              </w:rPr>
              <w:t>天内提交《专题报告》送审版一式两份。经渔业主管部门审查通过后，最终提交《专题报告》报批稿。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、其他采购人要求提供的成果内容。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 择性报价，且报价不超过采购预算 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根据供应商提供的整体服务方案(包括①服务总体设想及目标；②总体实施方案；③工作目标和技术路线；④主要工作内容;⑤项目重点难点分析；⑥确保项目实施过程中配合、协调管理措施。 评审标准：满分30分，每有一项内容缺失扣 6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质量保证措施内容包括但不限于：①质量目标；②质量保证措施；③质量管理措施。 评审标准：满分15分，每有一项内容缺失扣 5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项目进度措施</w:t>
            </w:r>
          </w:p>
        </w:tc>
        <w:tc>
          <w:tcPr>
            <w:tcW w:type="dxa" w:w="2492"/>
          </w:tcPr>
          <w:p>
            <w:pPr>
              <w:pStyle w:val="null3"/>
            </w:pPr>
            <w:r>
              <w:rPr>
                <w:rFonts w:ascii="仿宋_GB2312" w:hAnsi="仿宋_GB2312" w:cs="仿宋_GB2312" w:eastAsia="仿宋_GB2312"/>
              </w:rPr>
              <w:t>项目实施进度计划内容内容包括但不限于：①成果交付进度控制方案；②服务期进度控制方案； 评审标准：满分10分，每有一项内容缺失扣 5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成果管理</w:t>
            </w:r>
          </w:p>
        </w:tc>
        <w:tc>
          <w:tcPr>
            <w:tcW w:type="dxa" w:w="2492"/>
          </w:tcPr>
          <w:p>
            <w:pPr>
              <w:pStyle w:val="null3"/>
            </w:pPr>
            <w:r>
              <w:rPr>
                <w:rFonts w:ascii="仿宋_GB2312" w:hAnsi="仿宋_GB2312" w:cs="仿宋_GB2312" w:eastAsia="仿宋_GB2312"/>
              </w:rPr>
              <w:t>成果管理内容包括但不限于：①提供成果管理方法；②提供成果借阅制度；③提供成果归档制度；④提供成果资料安全管理制度； 评审标准：满分16分，每有一项内容缺失扣4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根据采购文件要求对本次服务做出相应承诺。 完全满足项目要求，且提出更优化的服务目标（6.1-9）分；基本满足项目要求，且提出更优化的服务目标（3.1-6）分；基本满足项目要求，未提出其他服务目标（0-3）分；未提供的不得分。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1、项目负责人:具有中级职称的得1分，具有副高级及以上职称的得2分;本项最多得2分。 2、拟投入本项目的其他人员:每增加一个具有中级及以上职称的得1分，本项最多得3分。 评审标准:须提供相关职称证书或专业技术职务任职资格证明材料复印件并加盖供应商鲜章。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供应商提供2023年1月1日以来（以合同签订时间为准）的类似项目业绩，每提供一个业绩得2.5分，最多得5分。（提供合同或中标通知书复印件）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