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版本号：SXHC2026CG010220260116001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城固县城市更新规划编制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SXHC2026CG0102</w:t>
      </w:r>
      <w:r>
        <w:br/>
      </w:r>
      <w:r>
        <w:br/>
      </w:r>
      <w:r>
        <w:br/>
      </w:r>
    </w:p>
    <w:p>
      <w:pPr>
        <w:pStyle w:val="null3"/>
        <w:jc w:val="center"/>
        <w:outlineLvl w:val="2"/>
      </w:pPr>
      <w:r>
        <w:rPr>
          <w:rFonts w:ascii="仿宋_GB2312" w:hAnsi="仿宋_GB2312" w:cs="仿宋_GB2312" w:eastAsia="仿宋_GB2312"/>
          <w:sz w:val="28"/>
          <w:b/>
        </w:rPr>
        <w:t>城固县住房和城乡建设局</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城固县城市更新规划编制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SXHC2026CG0102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城固县城市更新规划编制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依据中共中央办公厅 国务院办公厅《关于持续推进城市更新行动的意见》以及省住建厅关于印发《陕西省城市更新专项规划编制导则》的通知（陕建发〔2025〕123号）文件要求，对《城固县城市更新专项规划》进行规划编制。通过城市更新，进一步提升土地利用的效益，促进城市集中建设区空间优化，推动产业转型升级盘活低效工业用地，永续城固城市历史文化基因，彰显特色人文魅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采购包1（城固县城市更新规划编制）：属于专门面向中小企业采购。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3、承诺函：响应《汉中市政府采购供应商资格承诺函》</w:t>
      </w:r>
    </w:p>
    <w:p>
      <w:pPr>
        <w:pStyle w:val="null3"/>
      </w:pPr>
      <w:r>
        <w:rPr>
          <w:rFonts w:ascii="仿宋_GB2312" w:hAnsi="仿宋_GB2312" w:cs="仿宋_GB2312" w:eastAsia="仿宋_GB2312"/>
        </w:rPr>
        <w:t>4、投标人资格证书要求：供应商需具备城乡规划编制乙级及以上资质</w:t>
      </w:r>
    </w:p>
    <w:p>
      <w:pPr>
        <w:pStyle w:val="null3"/>
      </w:pPr>
      <w:r>
        <w:rPr>
          <w:rFonts w:ascii="仿宋_GB2312" w:hAnsi="仿宋_GB2312" w:cs="仿宋_GB2312" w:eastAsia="仿宋_GB2312"/>
        </w:rPr>
        <w:t>5、非联合体投标：本项目不接受联合体投标。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7213354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13484891074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开户银行：中国工商银行汉中分行中山街支行</w:t>
            </w:r>
          </w:p>
          <w:p>
            <w:pPr>
              <w:pStyle w:val="null3"/>
            </w:pPr>
            <w:r>
              <w:rPr>
                <w:rFonts w:ascii="仿宋_GB2312" w:hAnsi="仿宋_GB2312" w:cs="仿宋_GB2312" w:eastAsia="仿宋_GB2312"/>
              </w:rPr>
              <w:t>银行账号：2606 0502 0924 5102 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联系电话：13484891074</w:t>
      </w:r>
    </w:p>
    <w:p>
      <w:pPr>
        <w:pStyle w:val="null3"/>
      </w:pPr>
      <w:r>
        <w:rPr>
          <w:rFonts w:ascii="仿宋_GB2312" w:hAnsi="仿宋_GB2312" w:cs="仿宋_GB2312" w:eastAsia="仿宋_GB2312"/>
        </w:rPr>
        <w:t>地址：陕西省汉中市汉台区天汉大道钟楼十字</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通过城市更新，进一步提升土地利用的效益，促进城市集中建设区空间优化，推动产业转型升级盘活低效工业用地，永续城固城市历史文化基因，彰显特色人文魅力。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规划服务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标的名称：规划服务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45"/>
              <w:jc w:val="left"/>
            </w:pPr>
            <w:r>
              <w:rPr>
                <w:rFonts w:ascii="仿宋_GB2312" w:hAnsi="仿宋_GB2312" w:cs="仿宋_GB2312" w:eastAsia="仿宋_GB2312"/>
                <w:sz w:val="21"/>
              </w:rPr>
              <w:t>依据中共中央办公厅</w:t>
            </w:r>
            <w:r>
              <w:rPr>
                <w:rFonts w:ascii="仿宋_GB2312" w:hAnsi="仿宋_GB2312" w:cs="仿宋_GB2312" w:eastAsia="仿宋_GB2312"/>
                <w:sz w:val="21"/>
              </w:rPr>
              <w:t>国务院办公厅《关于持续推进城市更新行动的意见》以及省住建厅关于印发《陕西省城市更新专项规划编制导则》的通知（陕建发〔</w:t>
            </w:r>
            <w:r>
              <w:rPr>
                <w:rFonts w:ascii="仿宋_GB2312" w:hAnsi="仿宋_GB2312" w:cs="仿宋_GB2312" w:eastAsia="仿宋_GB2312"/>
                <w:sz w:val="21"/>
              </w:rPr>
              <w:t>2025</w:t>
            </w:r>
            <w:r>
              <w:rPr>
                <w:rFonts w:ascii="仿宋_GB2312" w:hAnsi="仿宋_GB2312" w:cs="仿宋_GB2312" w:eastAsia="仿宋_GB2312"/>
                <w:sz w:val="21"/>
              </w:rPr>
              <w:t>〕</w:t>
            </w:r>
            <w:r>
              <w:rPr>
                <w:rFonts w:ascii="仿宋_GB2312" w:hAnsi="仿宋_GB2312" w:cs="仿宋_GB2312" w:eastAsia="仿宋_GB2312"/>
                <w:sz w:val="21"/>
              </w:rPr>
              <w:t>123</w:t>
            </w:r>
            <w:r>
              <w:rPr>
                <w:rFonts w:ascii="仿宋_GB2312" w:hAnsi="仿宋_GB2312" w:cs="仿宋_GB2312" w:eastAsia="仿宋_GB2312"/>
                <w:sz w:val="21"/>
              </w:rPr>
              <w:t>号）文件要求，</w:t>
            </w:r>
            <w:r>
              <w:rPr>
                <w:rFonts w:ascii="仿宋_GB2312" w:hAnsi="仿宋_GB2312" w:cs="仿宋_GB2312" w:eastAsia="仿宋_GB2312"/>
                <w:sz w:val="21"/>
              </w:rPr>
              <w:t>《城固县城市更新专项规划》包含以下内容：</w:t>
            </w:r>
          </w:p>
          <w:p>
            <w:pPr>
              <w:pStyle w:val="null3"/>
              <w:spacing w:before="45"/>
              <w:jc w:val="left"/>
            </w:pPr>
            <w:r>
              <w:rPr>
                <w:rFonts w:ascii="仿宋_GB2312" w:hAnsi="仿宋_GB2312" w:cs="仿宋_GB2312" w:eastAsia="仿宋_GB2312"/>
                <w:sz w:val="21"/>
              </w:rPr>
              <w:t>（一）明确城市更新总体战略目标。紧密衔接城市中长期发展战略需求</w:t>
            </w:r>
            <w:r>
              <w:rPr>
                <w:rFonts w:ascii="仿宋_GB2312" w:hAnsi="仿宋_GB2312" w:cs="仿宋_GB2312" w:eastAsia="仿宋_GB2312"/>
                <w:sz w:val="21"/>
              </w:rPr>
              <w:t>，提出城市更新战略重点与总体思路，结合</w:t>
            </w:r>
            <w:r>
              <w:rPr>
                <w:rFonts w:ascii="仿宋_GB2312" w:hAnsi="仿宋_GB2312" w:cs="仿宋_GB2312" w:eastAsia="仿宋_GB2312"/>
                <w:sz w:val="21"/>
              </w:rPr>
              <w:t>城固</w:t>
            </w:r>
            <w:r>
              <w:rPr>
                <w:rFonts w:ascii="仿宋_GB2312" w:hAnsi="仿宋_GB2312" w:cs="仿宋_GB2312" w:eastAsia="仿宋_GB2312"/>
                <w:sz w:val="21"/>
              </w:rPr>
              <w:t>实际，确定城市更新五年期总体目标和年度目标。</w:t>
            </w:r>
          </w:p>
          <w:p>
            <w:pPr>
              <w:pStyle w:val="null3"/>
              <w:spacing w:before="45"/>
              <w:jc w:val="left"/>
            </w:pPr>
            <w:r>
              <w:rPr>
                <w:rFonts w:ascii="仿宋_GB2312" w:hAnsi="仿宋_GB2312" w:cs="仿宋_GB2312" w:eastAsia="仿宋_GB2312"/>
                <w:sz w:val="21"/>
              </w:rPr>
              <w:t>（二）确定城市更新重点任务。从城市更新总体目标出发，针对既有建筑更新改造利用、城镇老旧小区整治改造、完整社区建设、老旧街区老旧厂区城中村改造、城市功能完善、城市基础设施建设改造、城市生态系统修复、城市历史文化保护传承八大类重点任务，提出更新规划内容。</w:t>
            </w:r>
          </w:p>
          <w:p>
            <w:pPr>
              <w:pStyle w:val="null3"/>
              <w:spacing w:before="45"/>
              <w:jc w:val="left"/>
            </w:pPr>
            <w:r>
              <w:rPr>
                <w:rFonts w:ascii="仿宋_GB2312" w:hAnsi="仿宋_GB2312" w:cs="仿宋_GB2312" w:eastAsia="仿宋_GB2312"/>
                <w:sz w:val="21"/>
              </w:rPr>
              <w:t>（三）制定更新片区指引。科学划定城市更新片区，以城市更新资源为基础，衔接详细规划单元边界、行政界线、权属边界、完整社区、山体河流等自然边界和铁路公路等基础设施边界划定，确定更新片区类型，提出更新片区指引，明确片区更新目标和定位，提出更新模式及更新内容。</w:t>
            </w:r>
          </w:p>
          <w:p>
            <w:pPr>
              <w:pStyle w:val="null3"/>
              <w:spacing w:before="45"/>
              <w:jc w:val="left"/>
            </w:pPr>
            <w:r>
              <w:rPr>
                <w:rFonts w:ascii="仿宋_GB2312" w:hAnsi="仿宋_GB2312" w:cs="仿宋_GB2312" w:eastAsia="仿宋_GB2312"/>
                <w:sz w:val="21"/>
              </w:rPr>
              <w:t>（四）建立项目库。依据上位规划要求、县城发展方向和建设需求，根据城市更新重点任务建立项目库，明确项目名称及类型、项目内容、项目规模、资金来源与投融资安排实施时序等，为制定县城更新年度计划提供项目储备。</w:t>
            </w:r>
          </w:p>
          <w:p>
            <w:pPr>
              <w:pStyle w:val="null3"/>
              <w:spacing w:before="45"/>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具体以采购文件及采购合同为准。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6个月（具体以采购合同为准）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1、符合国家相关法律法规要求，保质保量按期完成。 2、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设计完成一次性付清（财政资金下达后）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资格证明文件格式1.docx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响应《汉中市政府采购供应商资格承诺函》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投标人资格证书要求</w:t>
            </w:r>
          </w:p>
        </w:tc>
        <w:tc>
          <w:tcPr>
            <w:tcW w:type="dxa" w:w="3322"/>
          </w:tcPr>
          <w:p>
            <w:pPr>
              <w:pStyle w:val="null3"/>
            </w:pPr>
            <w:r>
              <w:rPr>
                <w:rFonts w:ascii="仿宋_GB2312" w:hAnsi="仿宋_GB2312" w:cs="仿宋_GB2312" w:eastAsia="仿宋_GB2312"/>
              </w:rPr>
              <w:t>供应商需具备城乡规划编制乙级及以上资质</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供应商名称和公章、营业执照、资质证书等一致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报价的有效性</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文件有效性</w:t>
            </w:r>
          </w:p>
        </w:tc>
        <w:tc>
          <w:tcPr>
            <w:tcW w:type="dxa" w:w="3322"/>
          </w:tcPr>
          <w:p>
            <w:pPr>
              <w:pStyle w:val="null3"/>
            </w:pPr>
            <w:r>
              <w:rPr>
                <w:rFonts w:ascii="仿宋_GB2312" w:hAnsi="仿宋_GB2312" w:cs="仿宋_GB2312" w:eastAsia="仿宋_GB2312"/>
              </w:rPr>
              <w:t>文件符合要求、签字盖章合格、有效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响应文件构成无缺项，按照采购文件要求的格式编写</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审查响应内容是否有重大缺漏项及错误</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规划编制目标</w:t>
            </w:r>
          </w:p>
        </w:tc>
        <w:tc>
          <w:tcPr>
            <w:tcW w:type="dxa" w:w="2492"/>
          </w:tcPr>
          <w:p>
            <w:pPr>
              <w:pStyle w:val="null3"/>
            </w:pPr>
            <w:r>
              <w:rPr>
                <w:rFonts w:ascii="仿宋_GB2312" w:hAnsi="仿宋_GB2312" w:cs="仿宋_GB2312" w:eastAsia="仿宋_GB2312"/>
              </w:rPr>
              <w:t>针对本项目提出适用于本项目的规划编制目标，方案包括但不限于①总体目标；②重点区域更新目标；③成果质量目标。 ①总体目标：（1）方案详细具体科学合理且具有针对性、可行性得4分；（2）方案明确具有一定的针对性、可行性得2分；（3）方案合理性不足，无针对性、可行性，内容空洞，可行性不强得1分。 ②重点区域更新目标：（1）方案详细具体科学合理且具有针对性、可行性得4分；（2）方案明确具有一定的针对性、可行性得2分；（3）方案合理性不足，无针对性、可行性，内容空洞，可行性不强得1分。 ③成果质量目标：（1）方案详细具体科学合理且具有针对性、可行性得4分；（2）方案明确具有一定的针对性、可行性得2分；（3）方案合理性不足，无针对性、可行性，内容空洞，可行性不强得1分。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规划方案</w:t>
            </w:r>
          </w:p>
        </w:tc>
        <w:tc>
          <w:tcPr>
            <w:tcW w:type="dxa" w:w="2492"/>
          </w:tcPr>
          <w:p>
            <w:pPr>
              <w:pStyle w:val="null3"/>
            </w:pPr>
            <w:r>
              <w:rPr>
                <w:rFonts w:ascii="仿宋_GB2312" w:hAnsi="仿宋_GB2312" w:cs="仿宋_GB2312" w:eastAsia="仿宋_GB2312"/>
              </w:rPr>
              <w:t>深刻理解、全面把握采购人需求，并结合项目的实际情况，能够针对性提出具体可行的①服务方案总体思路②各专项思路③工作计划及流程④技术路线及技术方法等综合评价。 以上方案内容全面、针对性强、符合本项目特点的得满分 16 分，以上每缺少一项内容或内容非针对于本项目扣 4 分；每小项有一处缺陷扣 1 分，扣完为止，不提供不得分。（缺陷是指：存在不适用项目实际情况的情形、凭空编造、内容前后不一致、前后逻辑错误、针对性不强、只有简单描述没有实质性内容 、涉及的规范及标准错误、地点区域错误、内容缺失、不符合采购需求等）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规划工作重点、难点分析及对策</w:t>
            </w:r>
          </w:p>
        </w:tc>
        <w:tc>
          <w:tcPr>
            <w:tcW w:type="dxa" w:w="2492"/>
          </w:tcPr>
          <w:p>
            <w:pPr>
              <w:pStyle w:val="null3"/>
            </w:pPr>
            <w:r>
              <w:rPr>
                <w:rFonts w:ascii="仿宋_GB2312" w:hAnsi="仿宋_GB2312" w:cs="仿宋_GB2312" w:eastAsia="仿宋_GB2312"/>
              </w:rPr>
              <w:t>针对本项目提出适用于本项目的规划工作重点、难点分析及对策，方案包括但不限于①针对本项目的重点、难点分析；②针对本项目的重点、难点的对策。 ①针对本项目的重点、难点分析：（1）方案详细具体科学合理且具有针对性、可行性得8分；（2）方案明确具有一定的针对性、可行性得5分；（3）方案合理性不足，无针对性、可行性，内容空洞，可行性不强得2分。 ②针对本项目的重点、难点的对策：（1）方案详细具体科学合理且具有针对性、可行性得8分；（2）方案明确具有一定的针对性、可行性得5分；（3）方案合理性不足，无针对性、可行性，内容空洞，可行性不强得2分。 注：不提供得 0 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质量控制的程序、措施和质量保证体系</w:t>
            </w:r>
          </w:p>
        </w:tc>
        <w:tc>
          <w:tcPr>
            <w:tcW w:type="dxa" w:w="2492"/>
          </w:tcPr>
          <w:p>
            <w:pPr>
              <w:pStyle w:val="null3"/>
            </w:pPr>
            <w:r>
              <w:rPr>
                <w:rFonts w:ascii="仿宋_GB2312" w:hAnsi="仿宋_GB2312" w:cs="仿宋_GB2312" w:eastAsia="仿宋_GB2312"/>
              </w:rPr>
              <w:t>根据供应商对本项目①质量控制的程序②质量控制措施③质量保证体系等综合评价。 以上方案内容全面、针对性强、符合本项目特点的得满分 12 分，以上每缺少一项内容或内容非针对于本项目扣 3 分；每小项有一处缺陷扣 1 分，扣完为止，不提供不得分。（缺陷是指：存在不适用项目实际情况的情形、凭空编造、内容前后不一致、前后逻辑错误、针对性不强、只有简单描述没有实质性内容 、涉及的规范及标准错误、地点区域错误、内容缺失、不符合采购需求等）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规划工作进度计划安排及保障措施</w:t>
            </w:r>
          </w:p>
        </w:tc>
        <w:tc>
          <w:tcPr>
            <w:tcW w:type="dxa" w:w="2492"/>
          </w:tcPr>
          <w:p>
            <w:pPr>
              <w:pStyle w:val="null3"/>
            </w:pPr>
            <w:r>
              <w:rPr>
                <w:rFonts w:ascii="仿宋_GB2312" w:hAnsi="仿宋_GB2312" w:cs="仿宋_GB2312" w:eastAsia="仿宋_GB2312"/>
              </w:rPr>
              <w:t>针对本项目提出适用于本项目的规划工作进度计划安排及保障措施，方案包括但不限于①规划工作进度计划安排；②规划工作进度计划保障措施。 ①规划工作进度计划安排：（1）方案详细具体科学合理且具有针对性、可行性得5分；（2）方案明确具有一定的针对性、可行性得2分；（3）方案合理性不足，无针对性、可行性，内容空洞，可行性不强得1分。 ②规划工作进度计划保障措施：（1）方案详细具体科学合理且具有针对性、可行性得5分；（2）方案明确具有一定的针对性、可行性得2分；（3）方案合理性不足，无针对性、可行性，内容空洞，可行性不强得1分。 注：不提供得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针对本项目提出适用于本项目的服务承诺，承诺包括但不限于①服务质量承诺；②服务周期承诺； ①服务质量承诺：（1）方案详细具体科学合理且具有针对性、可行性得5分；（2）方案明确具有一定的针对性、可行性得2分；（3）方案合理性不足，无针对性、可行性，内容空洞，可行性不强得1分。 ②服务周期承诺：（1）方案详细具体科学合理且具有针对性、可行性得5分；（2）方案明确具有一定的针对性、可行性得2分；（3）方案合理性不足，无针对性、可行性，内容空洞，可行性不强得1分。注：不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针对本项目所配备人员及岗位职责情况（数量、资质、经验、从业年限等）进行综合评审。 1、拟投入的服务人员架构齐全、数量充足，项目负责人具备注册城乡规划师资质且具备高级及以上职称，其他配备人员具有中级职称4人及以上得8分； 2、拟配备服务团队人员架构明确、数量基本充足，项目负责人具备注册城乡规划师资质且具备中级职称，其他配备人员具有中级职称2人及以上得4分； 3、拟配备服务团队人员架构不明确、数量不足，项目负责人无注册资质但具有中级职称或具有注册资质但不具有中级职称，其他配备人员具有中级职称＜2人得 2 分； 注：不提供得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2022年1月1日至今，供应商每提供一份类似项目业绩得2分，最高6分，未提供不得分。 注：以供应商加盖公章的施工合同或中标通知书复印件为准。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价格分统一采用低价优先法计算，即满足磋商文件要求且最后报价最低的供应商的价格为磋商基准价，其价格分为满分10分。其他供应商的价格分统一按照下列公式计算：报价得分=(磋商基准价／磋商报价)×10 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注：磋商小组认为磋商单位的报价明显低于其他通过符合性审查磋商单位的报价，有可能影响服务质量或者不能诚信履约的，要求其在评标现场合理的时间内提供书面说明，必要时提交相关证明材料；磋商单位不能证明其报价合理性的，磋商小组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