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版本号：ZDHZ26-006Z20260212001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城市管理社会组织建设与管理服务采购项目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ZDHZ26-006Z</w:t>
      </w:r>
      <w:r>
        <w:br/>
      </w:r>
      <w:r>
        <w:br/>
      </w:r>
      <w:r>
        <w:br/>
      </w:r>
    </w:p>
    <w:p>
      <w:pPr>
        <w:pStyle w:val="null3"/>
        <w:jc w:val="center"/>
        <w:outlineLvl w:val="2"/>
      </w:pPr>
      <w:r>
        <w:rPr>
          <w:rFonts w:ascii="仿宋_GB2312" w:hAnsi="仿宋_GB2312" w:cs="仿宋_GB2312" w:eastAsia="仿宋_GB2312"/>
          <w:sz w:val="28"/>
          <w:b/>
        </w:rPr>
        <w:t>城固县城市管理局</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城固县城市管理局</w:t>
      </w:r>
      <w:r>
        <w:rPr>
          <w:rFonts w:ascii="仿宋_GB2312" w:hAnsi="仿宋_GB2312" w:cs="仿宋_GB2312" w:eastAsia="仿宋_GB2312"/>
        </w:rPr>
        <w:t>委托，拟对</w:t>
      </w:r>
      <w:r>
        <w:rPr>
          <w:rFonts w:ascii="仿宋_GB2312" w:hAnsi="仿宋_GB2312" w:cs="仿宋_GB2312" w:eastAsia="仿宋_GB2312"/>
        </w:rPr>
        <w:t>城市管理社会组织建设与管理服务采购项目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ZDHZ26-006Z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城市管理社会组织建设与管理服务采购项目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城固县城市管理综合执法大队定向采购：宣传城市管理方面的法律、法规和规章，协助城管执法人员开展城市管理工作。参与城市管理日常性的管理工作，实行动态巡视检查，劝阻所发现的违反城市管理法规的行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采购包1（城市管理社会组织建设与管理服务采购项目）：属于专门面向中小企业采购。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1、供应商资质：供应商须提供行政主管部门颁发的《劳务派遣经营许可证》及《人力资源服务许可证》。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城固县城市管理局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城固县西环一路（中段）76号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毕家玮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0916-7215789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汉中市汉台区太白路百嘉汇B座5楼T33室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09168881112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采购包1：1,329,000.00元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开户名称：正大方略工程咨询有限公司汉中分公司</w:t>
            </w:r>
          </w:p>
          <w:p>
            <w:pPr>
              <w:pStyle w:val="null3"/>
            </w:pPr>
            <w:r>
              <w:rPr>
                <w:rFonts w:ascii="仿宋_GB2312" w:hAnsi="仿宋_GB2312" w:cs="仿宋_GB2312" w:eastAsia="仿宋_GB2312"/>
              </w:rPr>
              <w:t>开户银行：西安银行股份有限公司汉中分行营业部</w:t>
            </w:r>
          </w:p>
          <w:p>
            <w:pPr>
              <w:pStyle w:val="null3"/>
            </w:pPr>
            <w:r>
              <w:rPr>
                <w:rFonts w:ascii="仿宋_GB2312" w:hAnsi="仿宋_GB2312" w:cs="仿宋_GB2312" w:eastAsia="仿宋_GB2312"/>
              </w:rPr>
              <w:t>银行账号：4510 1158 0000 0264 10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根据《招标代理服务收费管理暂行办法》（计价格[2002]1980号）以及《关于进一步放开建设项目专项业务服务价格的通知》（发改价格[2015]299号）的有关规定执行。2、成交单位在领取成交通知书前，须向采购代理机构一次性支付采购代理服务费。 代理费缴存账户： 开户名称：正大方略工程咨询有限公司汉中分公司 开户银行：长安银行汉中分行营业部 账号：8060 6000 1421 0059 57 （备注：项目名称+项目编号+包号+代理服务费） 3、领取中标通知书前，需提供与电子版一致的响应文件，胶装成册。4、成交供应商在领取成交通知书时须携带法定代表人授权书及加盖单位公章的被授权人身份证复印件，并携带身份证原件。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城固县城市管理局</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城固县城市管理局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城固县城市管理局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联系人：吴林</w:t>
      </w:r>
    </w:p>
    <w:p>
      <w:pPr>
        <w:pStyle w:val="null3"/>
      </w:pPr>
      <w:r>
        <w:rPr>
          <w:rFonts w:ascii="仿宋_GB2312" w:hAnsi="仿宋_GB2312" w:cs="仿宋_GB2312" w:eastAsia="仿宋_GB2312"/>
        </w:rPr>
        <w:t>联系电话：0916-8881112</w:t>
      </w:r>
    </w:p>
    <w:p>
      <w:pPr>
        <w:pStyle w:val="null3"/>
      </w:pPr>
      <w:r>
        <w:rPr>
          <w:rFonts w:ascii="仿宋_GB2312" w:hAnsi="仿宋_GB2312" w:cs="仿宋_GB2312" w:eastAsia="仿宋_GB2312"/>
        </w:rPr>
        <w:t>地址：汉中市汉台区太白路百嘉汇B座5楼T33室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城固县城市管理综合执法大队定向采购：宣传城市管理方面的法律、法规和规章，协助城管执法人员开展城市管理工作。参与城市管理日常性的管理工作，实行动态巡视检查，劝阻所发现的违反城市管理法规的行为。 （1）供应商应针对本项目建立服务方案以及组织架构、人员录用等内容的规章制度，在实施前向采购人报告。采购人有权审核及提出修改意见。 （2）供应商应指派专职人员进行工作接洽和日常工作管理，并派人员对派出城市管理辅助人员进行经常性的检查督促。 （3）在不违反劳动法相关规定和服务合同的前提下，采购人可根据工作实际对服务内容进行增减和细化。 （4）采购人与派驻城市管理辅助人员不发生任何劳动和雇佣关系，派驻城市管理辅助人员由中标供应商自行管理。 （5）供应商应与城市管理辅助人员签订符合规定的用工合同，并严格按照国家及省市的相关劳动法规和保险条例，为城市管理辅助人员提供完善的劳动权益保障。 （6）根据工作需要，采购人对供应商派出的城市管理辅助人员有直接指挥权。 （7）供应商不得将项目分包或非法转包给任何单位和个人，否则采购人有权立即终止合同，相应损失和责任由中标供应商承担。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1,329,000.00</w:t>
      </w:r>
    </w:p>
    <w:p>
      <w:pPr>
        <w:pStyle w:val="null3"/>
      </w:pPr>
      <w:r>
        <w:rPr>
          <w:rFonts w:ascii="仿宋_GB2312" w:hAnsi="仿宋_GB2312" w:cs="仿宋_GB2312" w:eastAsia="仿宋_GB2312"/>
        </w:rPr>
        <w:t>采购包最高限价（元）: 1,329,000.00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城市管理服务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1,329,000.00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标的名称：城市管理服务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w:t>
            </w:r>
            <w:r>
              <w:rPr>
                <w:rFonts w:ascii="仿宋_GB2312" w:hAnsi="仿宋_GB2312" w:cs="仿宋_GB2312" w:eastAsia="仿宋_GB2312"/>
              </w:rPr>
              <w:t>服务项目概况</w:t>
            </w:r>
          </w:p>
          <w:p>
            <w:pPr>
              <w:pStyle w:val="null3"/>
              <w:jc w:val="both"/>
            </w:pPr>
            <w:r>
              <w:rPr>
                <w:rFonts w:ascii="仿宋_GB2312" w:hAnsi="仿宋_GB2312" w:cs="仿宋_GB2312" w:eastAsia="仿宋_GB2312"/>
              </w:rPr>
              <w:t>城市管理辅助人员：</w:t>
            </w:r>
          </w:p>
          <w:p>
            <w:pPr>
              <w:pStyle w:val="null3"/>
              <w:jc w:val="both"/>
            </w:pPr>
            <w:r>
              <w:rPr>
                <w:rFonts w:ascii="仿宋_GB2312" w:hAnsi="仿宋_GB2312" w:cs="仿宋_GB2312" w:eastAsia="仿宋_GB2312"/>
              </w:rPr>
              <w:t>（</w:t>
            </w:r>
            <w:r>
              <w:rPr>
                <w:rFonts w:ascii="仿宋_GB2312" w:hAnsi="仿宋_GB2312" w:cs="仿宋_GB2312" w:eastAsia="仿宋_GB2312"/>
              </w:rPr>
              <w:t>1）供应商应针对本项目建立服务方案以及组织架构、人员录用等内容的规章制度，在实施前向采购人报告。采购人有权审核及提出修改意见。</w:t>
            </w:r>
          </w:p>
          <w:p>
            <w:pPr>
              <w:pStyle w:val="null3"/>
              <w:jc w:val="both"/>
            </w:pPr>
            <w:r>
              <w:rPr>
                <w:rFonts w:ascii="仿宋_GB2312" w:hAnsi="仿宋_GB2312" w:cs="仿宋_GB2312" w:eastAsia="仿宋_GB2312"/>
              </w:rPr>
              <w:t>（</w:t>
            </w:r>
            <w:r>
              <w:rPr>
                <w:rFonts w:ascii="仿宋_GB2312" w:hAnsi="仿宋_GB2312" w:cs="仿宋_GB2312" w:eastAsia="仿宋_GB2312"/>
              </w:rPr>
              <w:t>2）供应商应指派专职人员进行工作接洽和日常工作管理，并派人员对派出城市管理辅助人员进行经常性的检查督促。</w:t>
            </w:r>
          </w:p>
          <w:p>
            <w:pPr>
              <w:pStyle w:val="null3"/>
              <w:jc w:val="both"/>
            </w:pPr>
            <w:r>
              <w:rPr>
                <w:rFonts w:ascii="仿宋_GB2312" w:hAnsi="仿宋_GB2312" w:cs="仿宋_GB2312" w:eastAsia="仿宋_GB2312"/>
              </w:rPr>
              <w:t>（</w:t>
            </w:r>
            <w:r>
              <w:rPr>
                <w:rFonts w:ascii="仿宋_GB2312" w:hAnsi="仿宋_GB2312" w:cs="仿宋_GB2312" w:eastAsia="仿宋_GB2312"/>
              </w:rPr>
              <w:t>3）在不违反劳动法相关规定和服务合同的前提下，采购人可根据工作实际对服务内容进行增减和细化。</w:t>
            </w:r>
          </w:p>
          <w:p>
            <w:pPr>
              <w:pStyle w:val="null3"/>
              <w:jc w:val="both"/>
            </w:pPr>
            <w:r>
              <w:rPr>
                <w:rFonts w:ascii="仿宋_GB2312" w:hAnsi="仿宋_GB2312" w:cs="仿宋_GB2312" w:eastAsia="仿宋_GB2312"/>
              </w:rPr>
              <w:t>（</w:t>
            </w:r>
            <w:r>
              <w:rPr>
                <w:rFonts w:ascii="仿宋_GB2312" w:hAnsi="仿宋_GB2312" w:cs="仿宋_GB2312" w:eastAsia="仿宋_GB2312"/>
              </w:rPr>
              <w:t>4）采购人与派驻城市管理辅助人员不发生任何劳动和雇佣关系，派驻城市管理辅助人员由中标供应商自行管理。</w:t>
            </w:r>
          </w:p>
          <w:p>
            <w:pPr>
              <w:pStyle w:val="null3"/>
              <w:jc w:val="both"/>
            </w:pPr>
            <w:r>
              <w:rPr>
                <w:rFonts w:ascii="仿宋_GB2312" w:hAnsi="仿宋_GB2312" w:cs="仿宋_GB2312" w:eastAsia="仿宋_GB2312"/>
              </w:rPr>
              <w:t>（</w:t>
            </w:r>
            <w:r>
              <w:rPr>
                <w:rFonts w:ascii="仿宋_GB2312" w:hAnsi="仿宋_GB2312" w:cs="仿宋_GB2312" w:eastAsia="仿宋_GB2312"/>
              </w:rPr>
              <w:t>5）供应商应与城市管理辅助人员签订符合规定的用工合同，并严格按照国家及省市的相关劳动法规和保险条例，为城市管理辅助人员提供完善的劳动权益保障。</w:t>
            </w:r>
          </w:p>
          <w:p>
            <w:pPr>
              <w:pStyle w:val="null3"/>
              <w:jc w:val="both"/>
            </w:pPr>
            <w:r>
              <w:rPr>
                <w:rFonts w:ascii="仿宋_GB2312" w:hAnsi="仿宋_GB2312" w:cs="仿宋_GB2312" w:eastAsia="仿宋_GB2312"/>
              </w:rPr>
              <w:t>（</w:t>
            </w:r>
            <w:r>
              <w:rPr>
                <w:rFonts w:ascii="仿宋_GB2312" w:hAnsi="仿宋_GB2312" w:cs="仿宋_GB2312" w:eastAsia="仿宋_GB2312"/>
              </w:rPr>
              <w:t>6）根据工作需要，采购人对供应商派出的城市管理辅助人员有直接指挥权。</w:t>
            </w:r>
          </w:p>
          <w:p>
            <w:pPr>
              <w:pStyle w:val="null3"/>
              <w:jc w:val="both"/>
            </w:pPr>
            <w:r>
              <w:rPr>
                <w:rFonts w:ascii="仿宋_GB2312" w:hAnsi="仿宋_GB2312" w:cs="仿宋_GB2312" w:eastAsia="仿宋_GB2312"/>
              </w:rPr>
              <w:t>（</w:t>
            </w:r>
            <w:r>
              <w:rPr>
                <w:rFonts w:ascii="仿宋_GB2312" w:hAnsi="仿宋_GB2312" w:cs="仿宋_GB2312" w:eastAsia="仿宋_GB2312"/>
              </w:rPr>
              <w:t>7）供应商不得将项目分包或非法转包给任何单位和个人，否则采购人有权立即终止合同，相应损失和责任由中标供应商承担</w:t>
            </w:r>
          </w:p>
          <w:p>
            <w:pPr>
              <w:pStyle w:val="null3"/>
              <w:jc w:val="both"/>
            </w:pPr>
            <w:r>
              <w:rPr>
                <w:rFonts w:ascii="仿宋_GB2312" w:hAnsi="仿宋_GB2312" w:cs="仿宋_GB2312" w:eastAsia="仿宋_GB2312"/>
              </w:rPr>
              <w:t>（</w:t>
            </w:r>
            <w:r>
              <w:rPr>
                <w:rFonts w:ascii="仿宋_GB2312" w:hAnsi="仿宋_GB2312" w:cs="仿宋_GB2312" w:eastAsia="仿宋_GB2312"/>
              </w:rPr>
              <w:t>8）服务团队：</w:t>
            </w:r>
          </w:p>
          <w:p>
            <w:pPr>
              <w:pStyle w:val="null3"/>
              <w:jc w:val="both"/>
            </w:pPr>
            <w:r>
              <w:rPr>
                <w:rFonts w:ascii="仿宋_GB2312" w:hAnsi="仿宋_GB2312" w:cs="仿宋_GB2312" w:eastAsia="仿宋_GB2312"/>
              </w:rPr>
              <w:t>服务团队人数不少于</w:t>
            </w:r>
            <w:r>
              <w:rPr>
                <w:rFonts w:ascii="仿宋_GB2312" w:hAnsi="仿宋_GB2312" w:cs="仿宋_GB2312" w:eastAsia="仿宋_GB2312"/>
              </w:rPr>
              <w:t>30人，男女不限，具有大专及以上文化程度，具有履行职责的身心条件和工作能力，具备一定的行政执法知识及岗位需要的相关工作经验。退役军人，城市管理、行政执法、法律专业毕业的人员，以及有城市管理执法协管从业经验的人员优先（以上要求上岗前由采购人面试）</w:t>
            </w:r>
          </w:p>
          <w:p>
            <w:pPr>
              <w:pStyle w:val="null3"/>
              <w:jc w:val="both"/>
            </w:pPr>
            <w:r>
              <w:rPr>
                <w:rFonts w:ascii="仿宋_GB2312" w:hAnsi="仿宋_GB2312" w:cs="仿宋_GB2312" w:eastAsia="仿宋_GB2312"/>
              </w:rPr>
              <w:t>（</w:t>
            </w:r>
            <w:r>
              <w:rPr>
                <w:rFonts w:ascii="仿宋_GB2312" w:hAnsi="仿宋_GB2312" w:cs="仿宋_GB2312" w:eastAsia="仿宋_GB2312"/>
              </w:rPr>
              <w:t>9）工作内容:按照采购人的安排部署,宣传城市管理方面的法律、法规和规章，协助城管执法人员开展城市管理工作。参与城市管理日常性的管理工作，实行动态巡视检查，劝阻所发现的违反城市管理法规的行为。</w:t>
            </w:r>
          </w:p>
          <w:p>
            <w:pPr>
              <w:pStyle w:val="null3"/>
              <w:jc w:val="both"/>
            </w:pPr>
            <w:r>
              <w:rPr>
                <w:rFonts w:ascii="仿宋_GB2312" w:hAnsi="仿宋_GB2312" w:cs="仿宋_GB2312" w:eastAsia="仿宋_GB2312"/>
              </w:rPr>
              <w:t>二、</w:t>
            </w:r>
            <w:r>
              <w:rPr>
                <w:rFonts w:ascii="仿宋_GB2312" w:hAnsi="仿宋_GB2312" w:cs="仿宋_GB2312" w:eastAsia="仿宋_GB2312"/>
              </w:rPr>
              <w:t>服务清单</w:t>
            </w:r>
          </w:p>
          <w:tbl>
            <w:tblPr>
              <w:tblInd w:type="dxa" w:w="285"/>
              <w:tblBorders>
                <w:top w:val="none" w:color="000000" w:sz="4"/>
                <w:left w:val="none" w:color="000000" w:sz="4"/>
                <w:bottom w:val="none" w:color="000000" w:sz="4"/>
                <w:right w:val="none" w:color="000000" w:sz="4"/>
                <w:insideH w:val="none"/>
                <w:insideV w:val="none"/>
              </w:tblBorders>
            </w:tblPr>
            <w:tblGrid>
              <w:gridCol w:w="297"/>
              <w:gridCol w:w="425"/>
              <w:gridCol w:w="798"/>
              <w:gridCol w:w="332"/>
              <w:gridCol w:w="285"/>
              <w:gridCol w:w="402"/>
            </w:tblGrid>
            <w:tr>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w:t>
                  </w:r>
                </w:p>
                <w:p>
                  <w:pPr>
                    <w:pStyle w:val="null3"/>
                    <w:jc w:val="both"/>
                  </w:pPr>
                  <w:r>
                    <w:rPr>
                      <w:rFonts w:ascii="仿宋_GB2312" w:hAnsi="仿宋_GB2312" w:cs="仿宋_GB2312" w:eastAsia="仿宋_GB2312"/>
                      <w:sz w:val="21"/>
                    </w:rPr>
                    <w:t>内容</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服务地点</w:t>
                  </w:r>
                </w:p>
              </w:tc>
              <w:tc>
                <w:tcPr>
                  <w:tcW w:type="dxa" w:w="7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工作要求</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w:t>
                  </w:r>
                </w:p>
                <w:p>
                  <w:pPr>
                    <w:pStyle w:val="null3"/>
                    <w:jc w:val="both"/>
                  </w:pPr>
                  <w:r>
                    <w:rPr>
                      <w:rFonts w:ascii="仿宋_GB2312" w:hAnsi="仿宋_GB2312" w:cs="仿宋_GB2312" w:eastAsia="仿宋_GB2312"/>
                      <w:sz w:val="21"/>
                    </w:rPr>
                    <w:t>时间</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w:t>
                  </w:r>
                </w:p>
                <w:p>
                  <w:pPr>
                    <w:pStyle w:val="null3"/>
                    <w:jc w:val="both"/>
                  </w:pPr>
                  <w:r>
                    <w:rPr>
                      <w:rFonts w:ascii="仿宋_GB2312" w:hAnsi="仿宋_GB2312" w:cs="仿宋_GB2312" w:eastAsia="仿宋_GB2312"/>
                      <w:sz w:val="21"/>
                    </w:rPr>
                    <w:t>年限</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城市管理辅助服务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城区</w:t>
                  </w:r>
                  <w:r>
                    <w:rPr>
                      <w:rFonts w:ascii="仿宋_GB2312" w:hAnsi="仿宋_GB2312" w:cs="仿宋_GB2312" w:eastAsia="仿宋_GB2312"/>
                      <w:sz w:val="21"/>
                    </w:rPr>
                    <w:t>主要道路及背街小巷</w:t>
                  </w:r>
                  <w:r>
                    <w:rPr>
                      <w:rFonts w:ascii="仿宋_GB2312" w:hAnsi="仿宋_GB2312" w:cs="仿宋_GB2312" w:eastAsia="仿宋_GB2312"/>
                      <w:sz w:val="21"/>
                    </w:rPr>
                    <w:t>30</w:t>
                  </w:r>
                  <w:r>
                    <w:rPr>
                      <w:rFonts w:ascii="仿宋_GB2312" w:hAnsi="仿宋_GB2312" w:cs="仿宋_GB2312" w:eastAsia="仿宋_GB2312"/>
                      <w:sz w:val="21"/>
                    </w:rPr>
                    <w:t>个岗点</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按照采购人的安排部署,宣传城市管理方面的法律、法规和规章，协助城管执法人员开展城市管理工作。参与城市管理日常性的管理工作，实行动态巡视检查，劝阻所发现的违反城市管理法规的行为。</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每日</w:t>
                  </w:r>
                  <w:r>
                    <w:rPr>
                      <w:rFonts w:ascii="仿宋_GB2312" w:hAnsi="仿宋_GB2312" w:cs="仿宋_GB2312" w:eastAsia="仿宋_GB2312"/>
                      <w:sz w:val="21"/>
                    </w:rPr>
                    <w:t>8</w:t>
                  </w:r>
                  <w:r>
                    <w:rPr>
                      <w:rFonts w:ascii="仿宋_GB2312" w:hAnsi="仿宋_GB2312" w:cs="仿宋_GB2312" w:eastAsia="仿宋_GB2312"/>
                      <w:sz w:val="21"/>
                    </w:rPr>
                    <w:t>小时</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二年，合同一年一签，经采购人考核合格，可续签下一年合同。</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服务岗点</w:t>
                  </w:r>
                  <w:r>
                    <w:rPr>
                      <w:rFonts w:ascii="仿宋_GB2312" w:hAnsi="仿宋_GB2312" w:cs="仿宋_GB2312" w:eastAsia="仿宋_GB2312"/>
                      <w:sz w:val="21"/>
                    </w:rPr>
                    <w:t>8</w:t>
                  </w:r>
                  <w:r>
                    <w:rPr>
                      <w:rFonts w:ascii="仿宋_GB2312" w:hAnsi="仿宋_GB2312" w:cs="仿宋_GB2312" w:eastAsia="仿宋_GB2312"/>
                      <w:sz w:val="21"/>
                    </w:rPr>
                    <w:t>小时必须有人在岗，按实际情况随时调整上岗人员位置。</w:t>
                  </w:r>
                </w:p>
              </w:tc>
            </w:tr>
          </w:tbl>
          <w:p>
            <w:pPr>
              <w:pStyle w:val="null3"/>
              <w:jc w:val="both"/>
            </w:pPr>
            <w:r>
              <w:rPr>
                <w:rFonts w:ascii="仿宋_GB2312" w:hAnsi="仿宋_GB2312" w:cs="仿宋_GB2312" w:eastAsia="仿宋_GB2312"/>
              </w:rPr>
              <w:t>三、其他说明</w:t>
            </w:r>
          </w:p>
          <w:p>
            <w:pPr>
              <w:pStyle w:val="null3"/>
              <w:jc w:val="both"/>
            </w:pPr>
            <w:r>
              <w:rPr>
                <w:rFonts w:ascii="仿宋_GB2312" w:hAnsi="仿宋_GB2312" w:cs="仿宋_GB2312" w:eastAsia="仿宋_GB2312"/>
                <w:sz w:val="21"/>
              </w:rPr>
              <w:t>投标报价包含但不限于人员社会养老保险、失业保险、医疗保险、工伤保险、职工劳保，大病保险、生育保险、取暖费、降温费、税金等。且相关社保计费依据</w:t>
            </w:r>
            <w:r>
              <w:rPr>
                <w:rFonts w:ascii="仿宋_GB2312" w:hAnsi="仿宋_GB2312" w:cs="仿宋_GB2312" w:eastAsia="仿宋_GB2312"/>
                <w:sz w:val="21"/>
              </w:rPr>
              <w:t>2026年社会保险经办机构相关文件编制。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根据本项目服务内容，提供符合本项目相应的项目成员。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供应商自行配备满足采购需求的相应设备。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二年，合同一年一签，经采购人考核合格，可续签下一年合同。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内容和技术规范要求的标准，由采购人组织验收，验收须以竞争性磋商文件、响应文件、合同、国家相应的标准、规范等为依据。采购人将严格按照政府采购相关法律法规的规定，按照采购文件要求及响应文件应答等内容进行验收。验收合格须交接项目实施的全部资料，并填写采购项目验收报告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完成全部服务，达到付款条件起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3.本项目预算金额为1,329,000.00元/年，服务期限为二年，合同一年一签，经采购人考核合格，可续签下一年合同。4、本项目所属行业为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（1）投标人为具有独立承担民事责任能力的企业法人、负责人或其他组织或自然人，并出具有效的营业执照（事业法人证）或证明文件或自然人的身份证明； （2）根据汉财办采管〔2024〕20号的文件要求，投标人只需在资格审查环节提供满足相应条件的资格承诺函（式样见响应文件格式），不再需要提供以下证明资料：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响应文件-资格证明文件.docx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(1)法定代表人（负责人）参加投标的：法定代表人（负责人）身份证明及身份证 (2)授权代表参加投标的：授权委托书及授权代表身份证</w:t>
            </w:r>
          </w:p>
        </w:tc>
        <w:tc>
          <w:tcPr>
            <w:tcW w:type="dxa" w:w="1661"/>
          </w:tcPr>
          <w:p>
            <w:pPr>
              <w:pStyle w:val="null3"/>
            </w:pPr>
            <w:r>
              <w:rPr>
                <w:rFonts w:ascii="仿宋_GB2312" w:hAnsi="仿宋_GB2312" w:cs="仿宋_GB2312" w:eastAsia="仿宋_GB2312"/>
              </w:rPr>
              <w:t>响应文件-资格证明文件.docx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响应文件-资格证明文件.docx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www.creditchina.gov.cn）中列入失信被执行人和重大税收违法案件当事人名单的供应商，不得为中国政府采购网（www.ccgp.gov.cn）政府采购严重违法失信行为记录名单中被财政部门禁止参加政府采购活动的供应商；（此项由采购代理机构开标现场查询）。</w:t>
            </w:r>
          </w:p>
        </w:tc>
        <w:tc>
          <w:tcPr>
            <w:tcW w:type="dxa" w:w="1661"/>
          </w:tcPr>
          <w:p>
            <w:pPr>
              <w:pStyle w:val="null3"/>
            </w:pPr>
            <w:r>
              <w:rPr>
                <w:rFonts w:ascii="仿宋_GB2312" w:hAnsi="仿宋_GB2312" w:cs="仿宋_GB2312" w:eastAsia="仿宋_GB2312"/>
              </w:rPr>
              <w:t>响应文件-资格证明文件.docx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供应商须提供行政主管部门颁发的《劳务派遣经营许可证》及《人力资源服务许可证》。</w:t>
            </w:r>
          </w:p>
        </w:tc>
        <w:tc>
          <w:tcPr>
            <w:tcW w:type="dxa" w:w="1661"/>
          </w:tcPr>
          <w:p>
            <w:pPr>
              <w:pStyle w:val="null3"/>
            </w:pPr>
            <w:r>
              <w:rPr>
                <w:rFonts w:ascii="仿宋_GB2312" w:hAnsi="仿宋_GB2312" w:cs="仿宋_GB2312" w:eastAsia="仿宋_GB2312"/>
              </w:rPr>
              <w:t>响应文件-资格证明文件.docx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响应文件-商务技术文件.docx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服务标准</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响应文件-商务技术文件.docx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响应文件-商务技术文件.docx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响应文件签署、盖章均按竞争性磋商文件要求签字、盖章。</w:t>
            </w:r>
          </w:p>
        </w:tc>
        <w:tc>
          <w:tcPr>
            <w:tcW w:type="dxa" w:w="1661"/>
          </w:tcPr>
          <w:p>
            <w:pPr>
              <w:pStyle w:val="null3"/>
            </w:pPr>
            <w:r>
              <w:rPr>
                <w:rFonts w:ascii="仿宋_GB2312" w:hAnsi="仿宋_GB2312" w:cs="仿宋_GB2312" w:eastAsia="仿宋_GB2312"/>
              </w:rPr>
              <w:t>响应文件封面 响应文件-商务技术文件.docx 中小企业声明函 残疾人福利性单位声明函 标的清单 报价表 响应函 响应文件-资格证明文件.docx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响应文件-商务技术文件.docx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响应文件-商务技术文件.docx 响应文件-资格证明文件.docx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 供应商针对本项目的总体实施方案，内容包括①项目整体实施方案②人员招聘渠道及储备机制③劳动合同管理与社会保险缴纳管理方案④薪酬管理体系方案⑤员工离职与退出管理方案⑥重难点分析及解决措施 评审标准 ①完整性:方案必须全面，对评审内容中的各项要求有详细描述。 ②可实施性:切合本项目实际情况，提出步骤清晰、合理的方案。 ③针对性:方案能够紧扣项目实际情况，内容科学合理。 赋分标准（满分21分） ①项目整体实施方案：每完全满足一项评审标准得2分，满分6分；针对评审标准存在有不合理处的扣0.5分。 ②人员招聘渠道及储备机制：每完全满足一项评审标准得1分，满分3分；针对评审标准存在有不合理处的扣0.5分。 ③劳动合同管理与社会保险缴纳管理方案：每完全满足一项评审标准得1分，满分3分；针对评审标准存在有不合理处的扣0.5分。 ④薪酬管理体系方案：每完全满足一项评审标准得1分，满分3分；针对评审标准存在有不合理处的扣0.5分。 ⑤员工离职与退出管理方案：每完全满足一项评审标准得1分，满分3分；针对评审标准存在有不合理处的扣0.5分。 ⑥重难点分析及解决措施：每完全满足一项评审标准得1分，满分3分；针对评审标准存在有不合理处的扣0.5分。 未提供，或明显存在不合理性的不得分。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工作配合保障方案</w:t>
            </w:r>
          </w:p>
        </w:tc>
        <w:tc>
          <w:tcPr>
            <w:tcW w:type="dxa" w:w="2492"/>
          </w:tcPr>
          <w:p>
            <w:pPr>
              <w:pStyle w:val="null3"/>
            </w:pPr>
            <w:r>
              <w:rPr>
                <w:rFonts w:ascii="仿宋_GB2312" w:hAnsi="仿宋_GB2312" w:cs="仿宋_GB2312" w:eastAsia="仿宋_GB2312"/>
              </w:rPr>
              <w:t>评审内容 供应商提供针对本项目的工作配合保障方案，内容包括：①派遣员工用工要求和条件保障方案：②服务质量保障方案：③项目管理人员团队组织协调保障方案：④与采购人配合保障方案。 评审标准 ①完整性：方案内容全面，对评审内容中的各项要求有详细描述及说明：②可实施性：方案科学合理，可操作性强： ③针对性：方案能紧扣本项目实际情况，满足本项目各项具体要求。 赋分标准（总分12分） ①派遣员工工作能力保障方案：每完全满足一项评审标准得1分，满分3分；针对评审标准存在有不合理处的扣0.5分。 ②服务质量保障方案：每完全满足一项评审标准得1分，满分3分；针对评审标准存在有不合理处的扣0.5分。 ③组织协调保障方案：每完全满足一项评审标准得1分，满分3分；针对评审标准存在有不合理处的扣0.5分。 ④与采购人配合保障方案：每完全满足一项评审标准得1分，满分3分；针对评审标准存在有不合理处的扣0.5分。 未提供，或明显存在不合理性的不得分。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业务风控能力</w:t>
            </w:r>
          </w:p>
        </w:tc>
        <w:tc>
          <w:tcPr>
            <w:tcW w:type="dxa" w:w="2492"/>
          </w:tcPr>
          <w:p>
            <w:pPr>
              <w:pStyle w:val="null3"/>
            </w:pPr>
            <w:r>
              <w:rPr>
                <w:rFonts w:ascii="仿宋_GB2312" w:hAnsi="仿宋_GB2312" w:cs="仿宋_GB2312" w:eastAsia="仿宋_GB2312"/>
              </w:rPr>
              <w:t>评审内容 供应商提供针对本项目的业务风控能力，内容包含：①人员工伤风险控制措施：②人员重大疾病风险控制措施：③劳资纠纷风险控制措施。 评审标准 ①完整性：方案必须全面，对评审内容中的各项要求有详细描述： ②可实施性：切合本项目实际情况，提出步骤清晰、合理的方案： ③针对性：方案能够紧扣项目实际情况，内容科学合理。 赋分标准（总分9分） ①人员工伤风险控制措施：每完全满足一项评审标准得1分，满分3分；针对评审标准存在有不合理处的扣0.5分。 ②人员重大疾病风险控制措施：每完全满足一项评审标准得1分，满分3分；针对评审标准存在有不合理处的扣0.5分。 ③劳资纠纷风险控制措施：每完全满足一项评审标准得1分，满分3分；针对评审标准存在有不合理处的扣0.5分。 未提供，或明显存在不合理性的不得分。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有满足本项目服务的专业团队，提供拟派项目团队主要人员名单及在项目中负责的具体工作职责。团队成员具备人力资源管理师资格证书的，每提供1个人员证书得2分，本项最高得6分。 注：需附人员身份证及资格证书复印件。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员工考核管理制度</w:t>
            </w:r>
          </w:p>
        </w:tc>
        <w:tc>
          <w:tcPr>
            <w:tcW w:type="dxa" w:w="2492"/>
          </w:tcPr>
          <w:p>
            <w:pPr>
              <w:pStyle w:val="null3"/>
            </w:pPr>
            <w:r>
              <w:rPr>
                <w:rFonts w:ascii="仿宋_GB2312" w:hAnsi="仿宋_GB2312" w:cs="仿宋_GB2312" w:eastAsia="仿宋_GB2312"/>
              </w:rPr>
              <w:t>评审内容 提供针对本项目的考核管理办法，包括：①岗位管理制度：提供完善的岗位管理制度。②内控制度：问责机制、自查制度③日常管理制度：考勤管理制度、仪容仪表制度、人事档案管理制度④奖惩制度、激励措施 评审标准 ①完整性：措施须全面，对评审内容中的各项要求有详细描述及说明：②可实施性：切合本项目实际情况，实施步骤清晰、合理： ③针对性：措施能够紧扣项目实际情况，内容科学合理。 赋分标准（总分12分） ①岗位管理制度：每完全满足一项评审标准得1分，满分3分；针对评审标准存在有不合理处的扣0.5分。 ②内控制度：每完全满足一项评审标准得1分，满分3分；针对评审标准存在有不合理处的扣0.5分。 ③日常管理制度：每完全满足一项评审标准得1分，满分3分；针对评审标准存在有不合理处的扣0.5分。 ④奖惩制度、激励措施：每完全满足一项评审标准得1分，满分3分；针对评审标准存在有不合理处的扣0.5分。 未提供，或明显存在不合理性的不得分。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评审内容 供应商针对本项目提供人员培训方案，内容包括：①培训内容：②培训计划、培训方式及培训效果等。 评审标准 ①完整性：方案须全面，对评审内容中的各项要 求有详细描述及说明：②可实施性：切合本项目实际情况，步骤清晰、合理，操作性强： ③针对性：方案能够紧扣项目实际情况，内容科学合理。 赋分标准（总分9分） ①培训内容：每完全满足一项评审标准得1.5分，满分4.5分；针对评审标准存在有不合理处的扣0.5分。 ②培训计划、培训方式及培训效果等：每完全满足一项评审标准得1.5分，满分4.5分；针对评审标准存在有不合理处的扣0.5分。 未提供，或明显存在不合理性的不得分。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 根据本项目的实际情况提供应急措施，方案内容包含：①应急事件处理流程及措施；②劳动纠纷应急预案；③工伤事故应急预案；④临时突击性工作（人员补给、调配方案）。 评审标准 完整性：应急方案内容全面，对各方面有详细的描述和说明。 合理性：方案切合切合实际，思路清晰，科学合理。 针对性：方案紧扣项目特点和采购需求，针对性强。 赋分标准（满分12分） ①应急事件处理流程及措施：每完全满足一项评审标准得1分，满分3分；针对评审标准存在有不合理处的扣0.5分。 ②劳动纠纷应急预案：每完全满足一项评审标准得1分，满分3分；针对评审标准存在有不合理处的扣0.5分。 ③工伤事故应急预案：每完全满足一项评审标准得1分，满分3分；针对评审标准存在有不合理处的扣0.5分。 ④临时突击性工作（人员补给、调配方案）：每完全满足一项评审标准得1分，满分3分；针对评审标准存在有不合理处的扣0.5分。 未提供，或明显存在不合理性的不得分。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针对本项目在服务工作中的常见问题进行梳理，具有的良好的解决方案并及时向采购人提出合理化建议，每提供一条有效且合理的建议得1分，满分3分。不提供不得分。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提供供应商2023年1月以来的类似项目业绩，每提供一个类似项目业绩的得2分，最高得6分。没有不得分；（提供成交通知书或合同复印件加盖公章为准）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高于采购预算的和经评审小组认定投标报价低于成本的，报价无效。满足招标文件要求且投标价格最低的投标报价为投标基准价。其他投标人的价格分统一按照下列公式计算： 投标报价得分=（投标基准价/投标报价）×价格权值（即10%）×100（计算分数时四舍五入取小数点后两位）。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详见附件：响应文件-商务技术文件.docx</w:t>
      </w:r>
    </w:p>
    <w:p>
      <w:pPr>
        <w:pStyle w:val="null3"/>
        <w:ind w:firstLine="960"/>
      </w:pPr>
      <w:r>
        <w:rPr>
          <w:rFonts w:ascii="仿宋_GB2312" w:hAnsi="仿宋_GB2312" w:cs="仿宋_GB2312" w:eastAsia="仿宋_GB2312"/>
        </w:rPr>
        <w:t>详见附件：响应文件-资格证明文件.docx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