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本合同为中小企业预留份额合同</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pPr>
        <w:pStyle w:val="7"/>
        <w:pageBreakBefore w:val="0"/>
        <w:kinsoku/>
        <w:wordWrap/>
        <w:overflowPunct/>
        <w:topLinePunct w:val="0"/>
        <w:bidi w:val="0"/>
        <w:spacing w:before="120" w:beforeLines="50" w:line="360" w:lineRule="auto"/>
        <w:ind w:firstLine="420"/>
        <w:rPr>
          <w:rFonts w:hint="eastAsia" w:ascii="宋体" w:hAnsi="宋体" w:eastAsia="宋体"/>
          <w:sz w:val="21"/>
          <w:szCs w:val="21"/>
        </w:rPr>
      </w:pPr>
      <w:r>
        <w:rPr>
          <w:rFonts w:hint="eastAsia" w:ascii="宋体" w:hAnsi="宋体" w:eastAsia="宋体"/>
          <w:sz w:val="21"/>
          <w:szCs w:val="21"/>
        </w:rPr>
        <w:t>根据《中华人民共和国政府采购法》及实施条例、《中华人民共和国民法典》和甲方</w:t>
      </w:r>
      <w:r>
        <w:rPr>
          <w:rFonts w:hint="eastAsia" w:ascii="宋体" w:hAnsi="宋体"/>
          <w:sz w:val="21"/>
          <w:szCs w:val="21"/>
          <w:lang w:val="en-US" w:eastAsia="zh-CN"/>
        </w:rPr>
        <w:t>就城市管理社会组织建设与管理服务采购项目</w:t>
      </w:r>
      <w:r>
        <w:rPr>
          <w:rFonts w:hint="eastAsia" w:ascii="宋体" w:hAnsi="宋体" w:eastAsia="宋体"/>
          <w:sz w:val="21"/>
          <w:szCs w:val="21"/>
        </w:rPr>
        <w:t>（采购项目编号：</w:t>
      </w:r>
      <w:r>
        <w:rPr>
          <w:rFonts w:hint="eastAsia" w:ascii="宋体" w:hAnsi="宋体" w:eastAsia="宋体"/>
          <w:sz w:val="21"/>
          <w:szCs w:val="21"/>
          <w:lang w:eastAsia="zh-CN"/>
        </w:rPr>
        <w:t>ZDHZ2</w:t>
      </w:r>
      <w:r>
        <w:rPr>
          <w:rFonts w:hint="eastAsia" w:ascii="宋体" w:hAnsi="宋体"/>
          <w:sz w:val="21"/>
          <w:szCs w:val="21"/>
          <w:lang w:val="en-US" w:eastAsia="zh-CN"/>
        </w:rPr>
        <w:t>6</w:t>
      </w:r>
      <w:r>
        <w:rPr>
          <w:rFonts w:hint="eastAsia" w:ascii="宋体" w:hAnsi="宋体" w:eastAsia="宋体"/>
          <w:sz w:val="21"/>
          <w:szCs w:val="21"/>
          <w:lang w:eastAsia="zh-CN"/>
        </w:rPr>
        <w:t>-0</w:t>
      </w:r>
      <w:r>
        <w:rPr>
          <w:rFonts w:hint="eastAsia" w:ascii="宋体" w:hAnsi="宋体"/>
          <w:sz w:val="21"/>
          <w:szCs w:val="21"/>
          <w:lang w:val="en-US" w:eastAsia="zh-CN"/>
        </w:rPr>
        <w:t>06</w:t>
      </w:r>
      <w:r>
        <w:rPr>
          <w:rFonts w:hint="eastAsia" w:ascii="宋体" w:hAnsi="宋体" w:eastAsia="宋体"/>
          <w:sz w:val="21"/>
          <w:szCs w:val="21"/>
          <w:lang w:eastAsia="zh-CN"/>
        </w:rPr>
        <w:t>Z</w:t>
      </w:r>
      <w:r>
        <w:rPr>
          <w:rFonts w:hint="eastAsia" w:ascii="宋体" w:hAnsi="宋体" w:eastAsia="宋体"/>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lang w:val="en-US" w:eastAsia="zh-CN"/>
        </w:rPr>
      </w:pPr>
      <w:r>
        <w:rPr>
          <w:rFonts w:hint="eastAsia" w:ascii="宋体" w:hAnsi="宋体" w:eastAsia="宋体" w:cs="Times New Roman"/>
          <w:b/>
          <w:color w:val="auto"/>
          <w:sz w:val="30"/>
          <w:szCs w:val="30"/>
          <w:highlight w:val="none"/>
        </w:rPr>
        <w:t>项目基本情况</w:t>
      </w:r>
    </w:p>
    <w:p>
      <w:pPr>
        <w:pStyle w:val="7"/>
        <w:pageBreakBefore w:val="0"/>
        <w:kinsoku/>
        <w:wordWrap/>
        <w:overflowPunct/>
        <w:topLinePunct w:val="0"/>
        <w:bidi w:val="0"/>
        <w:spacing w:before="120" w:beforeLines="50" w:line="360" w:lineRule="auto"/>
        <w:ind w:left="0" w:leftChars="0" w:firstLine="420" w:firstLineChars="200"/>
        <w:rPr>
          <w:rFonts w:hint="eastAsia" w:ascii="宋体" w:hAnsi="宋体" w:eastAsia="宋体"/>
          <w:sz w:val="21"/>
          <w:szCs w:val="21"/>
          <w:lang w:val="en-US" w:eastAsia="zh-CN"/>
        </w:rPr>
      </w:pPr>
      <w:r>
        <w:rPr>
          <w:rFonts w:hint="eastAsia" w:ascii="宋体" w:hAnsi="宋体" w:eastAsia="宋体"/>
          <w:sz w:val="21"/>
          <w:szCs w:val="21"/>
          <w:lang w:val="en-US" w:eastAsia="zh-CN"/>
        </w:rPr>
        <w:t>为城固县城市管理综合执法大队定向采购</w:t>
      </w:r>
      <w:r>
        <w:rPr>
          <w:rFonts w:hint="eastAsia" w:ascii="宋体" w:hAnsi="宋体"/>
          <w:sz w:val="21"/>
          <w:szCs w:val="21"/>
          <w:lang w:val="en-US" w:eastAsia="zh-CN"/>
        </w:rPr>
        <w:t>：</w:t>
      </w:r>
      <w:r>
        <w:rPr>
          <w:rFonts w:hint="eastAsia" w:ascii="宋体" w:hAnsi="宋体" w:eastAsia="宋体"/>
          <w:sz w:val="21"/>
          <w:szCs w:val="21"/>
          <w:lang w:val="en-US" w:eastAsia="zh-CN"/>
        </w:rPr>
        <w:t>宣传城市管理方面的法律、法规和规章，协助城管执法人员开展城市管理工作。参与城市管理日常性的管理工作，实行动态巡视检查，劝阻所发现的违反城市管理法规的行为。（1）供应商应针对本项目建立服务方案以及组织架构、人员录用等内容的规章制度，在实施前向采购人报告。采购人有权审核及提出修改意见。（2）供应商应指派专职人员进行工作接洽和日常工作管理，并派人员对派出城市管理辅助人员进行经常性的检查督促。（3）在不违反劳动法相关规定和服务合同的前提下，采购人可根据工作实际对服务内容进行增减和细化。（4）采购人与派驻城市管理辅助人员不发生任何劳动和雇佣关系，派驻城市管理辅助人员由中标供应商自行管理。（5）供应商应与城市管理辅助人员签订符合规定的用工合同，并严格按照国家及省市的相关劳动法规和保险条例，为城市管理辅助人员提供完善的劳动权益保障。（6）根据工作需要，采购人对供应商派出的城市管理辅助人员有直接指挥权。（7）供应商不得将项目分包或非法转包给任何单位和个人，否则采购人有权立即终止合同，相应损失和责任由中标供应商承担。</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bookmarkStart w:id="0" w:name="_Toc29385_WPSOffice_Level2"/>
      <w:r>
        <w:rPr>
          <w:rFonts w:hint="eastAsia" w:ascii="宋体" w:hAnsi="宋体" w:eastAsia="宋体" w:cs="Times New Roman"/>
          <w:b/>
          <w:color w:val="auto"/>
          <w:sz w:val="30"/>
          <w:szCs w:val="30"/>
          <w:highlight w:val="none"/>
        </w:rPr>
        <w:t>合同期限</w:t>
      </w:r>
      <w:bookmarkEnd w:id="0"/>
    </w:p>
    <w:p>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服务期限：</w:t>
      </w:r>
      <w:r>
        <w:rPr>
          <w:rFonts w:hint="eastAsia" w:ascii="宋体" w:hAnsi="宋体" w:cs="宋体"/>
          <w:color w:val="auto"/>
          <w:kern w:val="2"/>
          <w:sz w:val="21"/>
          <w:szCs w:val="21"/>
          <w:highlight w:val="none"/>
          <w:lang w:val="en-US" w:eastAsia="zh-CN" w:bidi="ar-SA"/>
        </w:rPr>
        <w:t>二年，合同一年一签，经采购人考核合格，可续签下一年合同。</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1" w:name="_Toc2495_WPSOffice_Level2"/>
      <w:bookmarkStart w:id="2" w:name="_Toc247334841"/>
      <w:bookmarkStart w:id="3" w:name="_Toc283019214"/>
      <w:bookmarkStart w:id="4" w:name="_Toc282696226"/>
      <w:bookmarkStart w:id="5" w:name="_Toc251768862"/>
      <w:bookmarkStart w:id="6" w:name="_Toc286993786"/>
      <w:bookmarkStart w:id="7" w:name="_Toc237145406"/>
      <w:bookmarkStart w:id="8" w:name="_Toc241833903"/>
      <w:bookmarkStart w:id="9" w:name="_Toc239233914"/>
      <w:bookmarkStart w:id="10" w:name="_Toc211854449"/>
      <w:bookmarkStart w:id="11" w:name="_Toc232492928"/>
      <w:bookmarkStart w:id="12" w:name="_Toc238984975"/>
      <w:bookmarkStart w:id="13" w:name="_Toc211911348"/>
      <w:bookmarkStart w:id="14" w:name="_Toc239568418"/>
      <w:bookmarkStart w:id="15" w:name="_Toc225244852"/>
      <w:bookmarkStart w:id="16" w:name="_Toc225654644"/>
      <w:bookmarkStart w:id="17" w:name="_Toc185395249"/>
      <w:bookmarkStart w:id="18" w:name="_Toc225670751"/>
      <w:bookmarkStart w:id="19" w:name="_Toc212019594"/>
      <w:r>
        <w:rPr>
          <w:rFonts w:hint="eastAsia" w:ascii="宋体" w:hAnsi="宋体" w:eastAsia="宋体" w:cs="Times New Roman"/>
          <w:b/>
          <w:color w:val="auto"/>
          <w:sz w:val="30"/>
          <w:szCs w:val="30"/>
          <w:highlight w:val="none"/>
        </w:rPr>
        <w:t>服务内容与质量标准</w:t>
      </w:r>
      <w:bookmarkEnd w:id="1"/>
    </w:p>
    <w:p>
      <w:pPr>
        <w:pageBreakBefore w:val="0"/>
        <w:kinsoku/>
        <w:wordWrap/>
        <w:overflowPunct/>
        <w:topLinePunct w:val="0"/>
        <w:bidi w:val="0"/>
        <w:snapToGrid/>
        <w:spacing w:line="360" w:lineRule="auto"/>
        <w:ind w:firstLine="420" w:firstLineChars="2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20" w:name="_Toc14493_WPSOffice_Level2"/>
      <w:r>
        <w:rPr>
          <w:rFonts w:hint="eastAsia" w:ascii="宋体" w:hAnsi="宋体" w:eastAsia="宋体" w:cs="Times New Roman"/>
          <w:b/>
          <w:color w:val="auto"/>
          <w:sz w:val="30"/>
          <w:szCs w:val="30"/>
          <w:highlight w:val="none"/>
        </w:rPr>
        <w:t>服务费用</w:t>
      </w:r>
      <w:bookmarkEnd w:id="20"/>
    </w:p>
    <w:p>
      <w:pPr>
        <w:keepNext/>
        <w:keepLines/>
        <w:pageBreakBefore w:val="0"/>
        <w:widowControl w:val="0"/>
        <w:kinsoku/>
        <w:wordWrap/>
        <w:overflowPunct/>
        <w:topLinePunct w:val="0"/>
        <w:bidi w:val="0"/>
        <w:snapToGrid/>
        <w:spacing w:before="0" w:after="0" w:line="312" w:lineRule="auto"/>
        <w:ind w:firstLine="411" w:firstLineChars="196"/>
        <w:jc w:val="both"/>
        <w:outlineLvl w:val="1"/>
        <w:rPr>
          <w:rFonts w:hint="eastAsia" w:ascii="宋体" w:hAnsi="宋体" w:eastAsia="黑体" w:cs="Times New Roman"/>
          <w:b/>
          <w:color w:val="auto"/>
          <w:kern w:val="2"/>
          <w:sz w:val="28"/>
          <w:szCs w:val="21"/>
          <w:highlight w:val="none"/>
          <w:lang w:val="en-US" w:eastAsia="zh-CN" w:bidi="ar-SA"/>
        </w:rPr>
      </w:pPr>
      <w:bookmarkStart w:id="21" w:name="_Toc18032_WPSOffice_Level2"/>
      <w:r>
        <w:rPr>
          <w:rFonts w:hint="eastAsia" w:ascii="宋体" w:hAnsi="宋体" w:eastAsia="宋体" w:cs="Times New Roman"/>
          <w:b w:val="0"/>
          <w:color w:val="auto"/>
          <w:kern w:val="2"/>
          <w:sz w:val="21"/>
          <w:szCs w:val="21"/>
          <w:highlight w:val="none"/>
          <w:lang w:val="en-US" w:eastAsia="zh-CN" w:bidi="ar-SA"/>
        </w:rPr>
        <w:t xml:space="preserve"> 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2" w:name="OLE_LINK12"/>
      <w:r>
        <w:rPr>
          <w:rFonts w:hint="eastAsia" w:ascii="宋体" w:hAnsi="宋体" w:eastAsia="宋体" w:cs="Times New Roman"/>
          <w:color w:val="auto"/>
          <w:szCs w:val="21"/>
          <w:highlight w:val="none"/>
        </w:rPr>
        <w:t>含乙方后期服务费用。</w:t>
      </w:r>
    </w:p>
    <w:p>
      <w:pPr>
        <w:pageBreakBefore w:val="0"/>
        <w:kinsoku/>
        <w:wordWrap/>
        <w:overflowPunct/>
        <w:topLinePunct w:val="0"/>
        <w:bidi w:val="0"/>
        <w:snapToGrid/>
        <w:spacing w:line="312" w:lineRule="auto"/>
        <w:ind w:firstLine="525" w:firstLineChars="250"/>
        <w:rPr>
          <w:rFonts w:hint="eastAsia" w:ascii="宋体" w:hAnsi="宋体" w:eastAsia="宋体" w:cs="Times New Roman"/>
          <w:b/>
          <w:color w:val="auto"/>
          <w:sz w:val="30"/>
          <w:szCs w:val="30"/>
          <w:highlight w:val="none"/>
        </w:rPr>
      </w:pPr>
      <w:r>
        <w:rPr>
          <w:rFonts w:hint="eastAsia" w:ascii="宋体" w:hAnsi="宋体" w:eastAsia="宋体" w:cs="Times New Roman"/>
          <w:color w:val="auto"/>
          <w:szCs w:val="21"/>
          <w:highlight w:val="none"/>
        </w:rPr>
        <w:t>4.本合同执行期间合同价款</w:t>
      </w:r>
      <w:bookmarkEnd w:id="22"/>
      <w:r>
        <w:rPr>
          <w:rFonts w:hint="eastAsia" w:ascii="宋体" w:hAnsi="宋体" w:eastAsia="宋体" w:cs="Times New Roman"/>
          <w:color w:val="auto"/>
          <w:szCs w:val="21"/>
          <w:highlight w:val="none"/>
        </w:rPr>
        <w:t>不变，甲方无须另向乙方支付本合同规定之外的其他任何费用。</w:t>
      </w:r>
    </w:p>
    <w:p>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1"/>
    </w:p>
    <w:p>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合同签订后，采购人按月付款，每月服务费经采购人确认后，当月支付上月费用。</w:t>
      </w:r>
    </w:p>
    <w:p>
      <w:pPr>
        <w:pageBreakBefore w:val="0"/>
        <w:kinsoku/>
        <w:wordWrap/>
        <w:overflowPunct/>
        <w:topLinePunct w:val="0"/>
        <w:bidi w:val="0"/>
        <w:snapToGrid/>
        <w:spacing w:line="360" w:lineRule="auto"/>
        <w:ind w:firstLine="735" w:firstLineChars="3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采用银行转账支付方式</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3" w:name="_Toc11429_WPSOffice_Level2"/>
      <w:r>
        <w:rPr>
          <w:rFonts w:hint="eastAsia" w:ascii="宋体" w:hAnsi="宋体" w:eastAsia="宋体" w:cs="Times New Roman"/>
          <w:b/>
          <w:color w:val="auto"/>
          <w:sz w:val="30"/>
          <w:szCs w:val="30"/>
          <w:highlight w:val="none"/>
        </w:rPr>
        <w:t>第六条   知识产权</w:t>
      </w:r>
      <w:bookmarkEnd w:id="23"/>
    </w:p>
    <w:p>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4"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4"/>
    </w:p>
    <w:p>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5" w:name="_Toc9129_WPSOffice_Level2"/>
      <w:r>
        <w:rPr>
          <w:rFonts w:hint="eastAsia" w:ascii="宋体" w:hAnsi="宋体" w:eastAsia="宋体" w:cs="Times New Roman"/>
          <w:b/>
          <w:color w:val="auto"/>
          <w:sz w:val="30"/>
          <w:szCs w:val="30"/>
          <w:highlight w:val="none"/>
        </w:rPr>
        <w:t>第八条   履约保证金</w:t>
      </w:r>
      <w:bookmarkEnd w:id="25"/>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6"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6"/>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7"/>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8"/>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9" w:name="_Toc20320_WPSOffice_Level2"/>
      <w:r>
        <w:rPr>
          <w:rFonts w:hint="eastAsia" w:ascii="宋体" w:hAnsi="宋体" w:eastAsia="宋体" w:cs="Times New Roman"/>
          <w:b/>
          <w:color w:val="auto"/>
          <w:sz w:val="30"/>
          <w:szCs w:val="30"/>
          <w:highlight w:val="none"/>
        </w:rPr>
        <w:t>第十二条  不可抗力事件处理</w:t>
      </w:r>
      <w:bookmarkEnd w:id="29"/>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0" w:name="_Toc212019599"/>
      <w:bookmarkStart w:id="31" w:name="_Toc225654649"/>
      <w:bookmarkStart w:id="32" w:name="_Toc225244857"/>
      <w:bookmarkStart w:id="33" w:name="_Toc211854454"/>
      <w:bookmarkStart w:id="34" w:name="_Toc241833908"/>
      <w:bookmarkStart w:id="35" w:name="_Toc211911353"/>
      <w:bookmarkStart w:id="36" w:name="_Toc232492933"/>
      <w:bookmarkStart w:id="37" w:name="_Toc251768867"/>
      <w:bookmarkStart w:id="38" w:name="_Toc247334846"/>
      <w:bookmarkStart w:id="39" w:name="_Toc239233919"/>
      <w:bookmarkStart w:id="40" w:name="_Toc286993792"/>
      <w:bookmarkStart w:id="41" w:name="_Toc239568423"/>
      <w:bookmarkStart w:id="42" w:name="_Toc225670756"/>
      <w:bookmarkStart w:id="43" w:name="_Toc237145411"/>
      <w:bookmarkStart w:id="44" w:name="_Toc238984980"/>
      <w:bookmarkStart w:id="45" w:name="_Toc185395254"/>
      <w:r>
        <w:rPr>
          <w:rFonts w:hint="eastAsia" w:ascii="宋体" w:hAnsi="宋体" w:eastAsia="宋体" w:cs="Times New Roman"/>
          <w:b/>
          <w:color w:val="auto"/>
          <w:sz w:val="30"/>
          <w:szCs w:val="30"/>
          <w:highlight w:val="none"/>
        </w:rPr>
        <w:t xml:space="preserve">   </w:t>
      </w:r>
      <w:bookmarkStart w:id="46"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6"/>
    </w:p>
    <w:p>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7"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w:t>
      </w:r>
      <w:r>
        <w:rPr>
          <w:rFonts w:ascii="宋体" w:hAnsi="宋体" w:eastAsia="宋体" w:cs="Times New Roman"/>
          <w:b/>
          <w:color w:val="auto"/>
          <w:szCs w:val="21"/>
          <w:highlight w:val="none"/>
        </w:rPr>
        <w:t>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8" w:name="_Toc282696231"/>
      <w:bookmarkStart w:id="49" w:name="_Toc247334847"/>
      <w:bookmarkStart w:id="50" w:name="_Toc225670757"/>
      <w:bookmarkStart w:id="51" w:name="_Toc211854455"/>
      <w:bookmarkStart w:id="52" w:name="_Toc232492934"/>
      <w:bookmarkStart w:id="53" w:name="_Toc211911354"/>
      <w:bookmarkStart w:id="54" w:name="_Toc283019219"/>
      <w:bookmarkStart w:id="55" w:name="_Toc251768868"/>
      <w:bookmarkStart w:id="56" w:name="_Toc212019600"/>
      <w:bookmarkStart w:id="57" w:name="_Toc239568424"/>
      <w:bookmarkStart w:id="58" w:name="_Toc225244858"/>
      <w:bookmarkStart w:id="59" w:name="_Toc237145412"/>
      <w:bookmarkStart w:id="60" w:name="_Toc225654650"/>
      <w:bookmarkStart w:id="61" w:name="_Toc238984981"/>
      <w:bookmarkStart w:id="62" w:name="_Toc185395255"/>
      <w:bookmarkStart w:id="63" w:name="_Toc286993793"/>
      <w:bookmarkStart w:id="64" w:name="_Toc241833909"/>
      <w:bookmarkStart w:id="65" w:name="_Toc239233920"/>
      <w:bookmarkStart w:id="66"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Times New Roman"/>
          <w:b/>
          <w:color w:val="auto"/>
          <w:sz w:val="30"/>
          <w:szCs w:val="30"/>
          <w:highlight w:val="none"/>
        </w:rPr>
        <w:t>生效及其他</w:t>
      </w:r>
      <w:bookmarkEnd w:id="66"/>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7" w:name="_Toc25105_WPSOffice_Level2"/>
      <w:r>
        <w:rPr>
          <w:rFonts w:hint="eastAsia" w:ascii="宋体" w:hAnsi="宋体" w:eastAsia="宋体" w:cs="Times New Roman"/>
          <w:b/>
          <w:color w:val="auto"/>
          <w:sz w:val="30"/>
          <w:szCs w:val="30"/>
          <w:highlight w:val="none"/>
        </w:rPr>
        <w:t>第十五条  附件</w:t>
      </w:r>
      <w:bookmarkEnd w:id="67"/>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w:t>
      </w:r>
      <w:r>
        <w:rPr>
          <w:rFonts w:hint="eastAsia" w:ascii="宋体" w:hAnsi="宋体" w:cs="Times New Roman"/>
          <w:color w:val="auto"/>
          <w:szCs w:val="21"/>
          <w:highlight w:val="none"/>
          <w:lang w:val="en-US" w:eastAsia="zh-CN"/>
        </w:rPr>
        <w:t xml:space="preserve">    </w:t>
      </w:r>
      <w:bookmarkStart w:id="68" w:name="_GoBack"/>
      <w:bookmarkEnd w:id="68"/>
      <w:r>
        <w:rPr>
          <w:rFonts w:hint="eastAsia" w:ascii="宋体" w:hAnsi="宋体" w:eastAsia="宋体" w:cs="Times New Roman"/>
          <w:color w:val="auto"/>
          <w:szCs w:val="21"/>
          <w:highlight w:val="none"/>
        </w:rPr>
        <w:t>签约日期：    年  月  日</w:t>
      </w:r>
    </w:p>
    <w:p>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pPr>
        <w:pStyle w:val="9"/>
        <w:ind w:firstLine="840"/>
        <w:rPr>
          <w:rFonts w:ascii="仿宋_GB2312" w:hAnsi="仿宋_GB2312" w:eastAsia="仿宋_GB2312" w:cs="仿宋_GB2312"/>
        </w:rPr>
      </w:pPr>
    </w:p>
    <w:p>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417" w:bottom="1440" w:left="1417" w:header="851" w:footer="992" w:gutter="0"/>
          <w:pgNumType w:fmt="decimal"/>
          <w:cols w:space="720" w:num="1"/>
          <w:titlePg/>
          <w:rtlGutter w:val="0"/>
          <w:docGrid w:linePitch="1" w:charSpace="0"/>
        </w:sectPr>
      </w:pPr>
    </w:p>
    <w:p>
      <w:pPr>
        <w:rPr>
          <w:rFonts w:hint="eastAsia" w:ascii="黑体" w:hAnsi="宋体" w:eastAsia="黑体"/>
          <w:sz w:val="28"/>
          <w:szCs w:val="28"/>
        </w:rPr>
      </w:pPr>
      <w:r>
        <w:rPr>
          <w:rFonts w:hint="eastAsia" w:ascii="黑体" w:hAnsi="宋体" w:eastAsia="黑体"/>
          <w:sz w:val="28"/>
          <w:szCs w:val="28"/>
        </w:rPr>
        <w:t>附件1：</w:t>
      </w:r>
    </w:p>
    <w:p>
      <w:pPr>
        <w:jc w:val="center"/>
        <w:rPr>
          <w:rFonts w:hint="eastAsia" w:ascii="黑体" w:hAnsi="宋体" w:eastAsia="黑体"/>
          <w:sz w:val="36"/>
          <w:szCs w:val="36"/>
        </w:rPr>
      </w:pPr>
      <w:r>
        <w:rPr>
          <w:rFonts w:hint="eastAsia" w:ascii="黑体" w:hAnsi="宋体" w:eastAsia="黑体"/>
          <w:sz w:val="36"/>
          <w:szCs w:val="36"/>
        </w:rPr>
        <w:t>政府采购履约担保函</w:t>
      </w:r>
    </w:p>
    <w:p>
      <w:pPr>
        <w:rPr>
          <w:rFonts w:hint="eastAsia"/>
        </w:rPr>
      </w:pPr>
      <w:r>
        <w:rPr>
          <w:rFonts w:hint="eastAsia"/>
        </w:rPr>
        <w:t xml:space="preserve">                                                            </w:t>
      </w:r>
    </w:p>
    <w:p>
      <w:pPr>
        <w:ind w:firstLine="6615" w:firstLineChars="3150"/>
        <w:rPr>
          <w:rFonts w:hint="eastAsia"/>
          <w:szCs w:val="21"/>
        </w:rPr>
      </w:pPr>
      <w:r>
        <w:rPr>
          <w:rFonts w:hint="eastAsia"/>
          <w:szCs w:val="21"/>
        </w:rPr>
        <w:t xml:space="preserve"> 编号：</w:t>
      </w:r>
    </w:p>
    <w:p>
      <w:pPr>
        <w:rPr>
          <w:szCs w:val="21"/>
        </w:rPr>
      </w:pP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rPr>
          <w:rFonts w:ascii="宋体" w:hAnsi="宋体"/>
          <w:szCs w:val="21"/>
        </w:rPr>
      </w:pPr>
    </w:p>
    <w:p>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pPr>
        <w:spacing w:line="360" w:lineRule="auto"/>
        <w:rPr>
          <w:rFonts w:hint="eastAsia" w:ascii="宋体" w:hAnsi="宋体"/>
          <w:szCs w:val="21"/>
        </w:rPr>
      </w:pPr>
      <w:r>
        <w:rPr>
          <w:rFonts w:hint="eastAsia" w:ascii="宋体" w:hAnsi="宋体"/>
          <w:szCs w:val="21"/>
        </w:rPr>
        <w:t xml:space="preserve">　　2.主合同约定的应当缴纳履约保证金的情形: </w:t>
      </w:r>
    </w:p>
    <w:p>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pPr>
        <w:spacing w:line="360" w:lineRule="auto"/>
        <w:rPr>
          <w:rFonts w:hint="eastAsia" w:ascii="宋体" w:hAnsi="宋体"/>
          <w:szCs w:val="21"/>
        </w:rPr>
      </w:pPr>
    </w:p>
    <w:p>
      <w:pPr>
        <w:spacing w:line="360" w:lineRule="auto"/>
        <w:ind w:firstLine="5250" w:firstLineChars="2500"/>
        <w:rPr>
          <w:rFonts w:hint="eastAsia" w:ascii="宋体" w:hAnsi="宋体"/>
          <w:szCs w:val="21"/>
        </w:rPr>
      </w:pPr>
      <w:r>
        <w:rPr>
          <w:rFonts w:hint="eastAsia" w:ascii="宋体" w:hAnsi="宋体"/>
          <w:szCs w:val="21"/>
        </w:rPr>
        <w:t>保证人：（盖单位章）</w:t>
      </w:r>
    </w:p>
    <w:p>
      <w:pPr>
        <w:spacing w:line="360" w:lineRule="auto"/>
        <w:rPr>
          <w:rFonts w:hint="eastAsia" w:ascii="宋体" w:hAnsi="宋体"/>
          <w:szCs w:val="21"/>
        </w:rPr>
      </w:pPr>
      <w:r>
        <w:rPr>
          <w:rFonts w:hint="eastAsia" w:ascii="宋体" w:hAnsi="宋体"/>
          <w:szCs w:val="21"/>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2B3367"/>
    <w:rsid w:val="1A2F7AB0"/>
    <w:rsid w:val="26F64ECA"/>
    <w:rsid w:val="27B4004D"/>
    <w:rsid w:val="2A702875"/>
    <w:rsid w:val="39892A3E"/>
    <w:rsid w:val="4E03605C"/>
    <w:rsid w:val="60977051"/>
    <w:rsid w:val="655B13A9"/>
    <w:rsid w:val="7DDC6AC8"/>
    <w:rsid w:val="7E772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next w:val="4"/>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2025-07-10T01:45:00Z</dcterms:created>
  <dc:creator>Administrator</dc:creator>
  <cp:lastModifiedBy>皓月</cp:lastModifiedBy>
  <dcterms:modified xsi:type="dcterms:W3CDTF">2026-02-12T06:26:45Z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