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版本号：ZLJZB-26-00220260306001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2026年城固县老旧小区改造设计采购项目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ZLJZB-26-002</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陕西中陆建项目管理有限公司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陕西中陆建项目管理有限公司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2026年城固县老旧小区改造设计采购项目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ZLJZB-26-002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2026年城固县老旧小区改造设计采购项目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内容为：对城固县盐务局家属楼、邮政局家属楼、景苑小区、征稽所家属楼、金龙1号小区(文化路)、电影公司(临街)、新华书店小区、辛福南巷5号楼、文东8号楼、东升小区、城市新苑、开阳大院、玉顺小区、泛亚小区、新纪元小区(12-16号楼)、民生巷商住楼、马桩口53号、大西街(栖月楼)、鹏达小区、广场小区、东方红小区、金龙小区3号楼、小西关小区一栋、二栋、金阳名居、汉龙小区、宽科名居、北城龙湾、东二路小区等28个老旧小区进行改造设计及相关后续服务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采购包1（2026年城固县老旧小区改造设计采购项目）：属于专门面向中小企业采购。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1、资质要求：供应商具有行政主管部门核发的工程设计综合甲级资质或建筑行业工程设计乙级及以上资质或建筑行业（建筑工程）乙级以上资质。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13992656001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陕西中陆建项目管理有限公司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陕西省汉中市汉台区汉中路街道办事处太白路百嘉汇B座5楼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19991613331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开户名称：陕西中陆建项目管理有限公司</w:t>
            </w:r>
          </w:p>
          <w:p>
            <w:pPr>
              <w:pStyle w:val="null3"/>
            </w:pPr>
            <w:r>
              <w:rPr>
                <w:rFonts w:ascii="仿宋_GB2312" w:hAnsi="仿宋_GB2312" w:cs="仿宋_GB2312" w:eastAsia="仿宋_GB2312"/>
              </w:rPr>
              <w:t>开户银行：西安银行汉中分行营业部</w:t>
            </w:r>
          </w:p>
          <w:p>
            <w:pPr>
              <w:pStyle w:val="null3"/>
            </w:pPr>
            <w:r>
              <w:rPr>
                <w:rFonts w:ascii="仿宋_GB2312" w:hAnsi="仿宋_GB2312" w:cs="仿宋_GB2312" w:eastAsia="仿宋_GB2312"/>
              </w:rPr>
              <w:t>银行账号：451011580000073415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2、采购代理服务费的缴纳方式：在领取《成交通知书》时向采购代理机构一次性全额缴纳采购代理服务费。3、代理服务费的具体金额后续见本项目中标结果公告。 招标代理服务费银行账户 开户名称：陕西中陆建项目管理有限公司 开 户 行：中国农业银行股份有限公司汉中西环路支行 账 号：26605501040013837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陕西中陆建项目管理有限公司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陕西中陆建项目管理有限公司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陕西中陆建项目管理有限公司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陕西中陆建项目管理有限公司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陕西中陆建项目管理有限公司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陕西中陆建项目管理有限公司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联系电话：19991613331</w:t>
      </w:r>
    </w:p>
    <w:p>
      <w:pPr>
        <w:pStyle w:val="null3"/>
      </w:pPr>
      <w:r>
        <w:rPr>
          <w:rFonts w:ascii="仿宋_GB2312" w:hAnsi="仿宋_GB2312" w:cs="仿宋_GB2312" w:eastAsia="仿宋_GB2312"/>
        </w:rPr>
        <w:t>地址：汉中市太白路百嘉汇B座5楼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内容为：对城固县盐务局家属楼、邮政局家属楼、景苑小区、征稽所家属楼、金龙1号小区(文化路)、电影公司(临街)、新华书店小区、辛福南巷5号楼、文东8号楼、东升小区、城市新苑、开阳大院、玉顺小区、泛亚小区、新纪元小区(12-16号楼)、民生巷商住楼、马桩口53号、大西街(栖月楼)、鹏达小区、广场小区、东方红小区、金龙小区3号楼、小西关小区一栋、二栋、金阳名居、汉龙小区、宽科名居、北城龙湾、东二路小区等28个老旧小区进行改造设计及相关后续服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老旧小区改造设计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标的名称：老旧小区改造设计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服务范围：</w:t>
            </w:r>
            <w:r>
              <w:rPr>
                <w:rFonts w:ascii="仿宋_GB2312" w:hAnsi="仿宋_GB2312" w:cs="仿宋_GB2312" w:eastAsia="仿宋_GB2312"/>
                <w:sz w:val="21"/>
              </w:rPr>
              <w:t>完成盐务局家属楼、邮政局家属楼、景苑小区、征稽所家属楼、金龙</w:t>
            </w:r>
            <w:r>
              <w:rPr>
                <w:rFonts w:ascii="仿宋_GB2312" w:hAnsi="仿宋_GB2312" w:cs="仿宋_GB2312" w:eastAsia="仿宋_GB2312"/>
                <w:sz w:val="21"/>
              </w:rPr>
              <w:t>1号小区(文化路)、电影公司(临街)、新华书店小区、辛福南巷5号楼、文东8号楼、东升小区、城市新苑、开阳大院、玉顺小区、泛亚小区、新纪元小区(12-16号楼)、民生巷商住楼、马桩口53号、大西街(栖月楼)、鹏达小区、广场小区、东方红小区、金龙小区3号楼、小西关小区一栋、二栋、金阳名居、汉龙小区、宽科名居、北城龙湾、东二路小区等28个老旧小区的改造设计服务。</w:t>
            </w:r>
          </w:p>
          <w:p>
            <w:pPr>
              <w:pStyle w:val="null3"/>
              <w:jc w:val="both"/>
            </w:pPr>
            <w:r>
              <w:rPr>
                <w:rFonts w:ascii="仿宋_GB2312" w:hAnsi="仿宋_GB2312" w:cs="仿宋_GB2312" w:eastAsia="仿宋_GB2312"/>
                <w:sz w:val="21"/>
              </w:rPr>
              <w:t>2.服务内容：</w:t>
            </w:r>
            <w:r>
              <w:rPr>
                <w:rFonts w:ascii="仿宋_GB2312" w:hAnsi="仿宋_GB2312" w:cs="仿宋_GB2312" w:eastAsia="仿宋_GB2312"/>
                <w:sz w:val="21"/>
              </w:rPr>
              <w:t>施工图设计，设计必须通过行业主管部门审查及完成项目的审批工作；并提供后续服务，直至项目竣工验收合格。</w:t>
            </w:r>
          </w:p>
          <w:p>
            <w:pPr>
              <w:pStyle w:val="null3"/>
              <w:jc w:val="both"/>
            </w:pPr>
            <w:r>
              <w:rPr>
                <w:rFonts w:ascii="仿宋_GB2312" w:hAnsi="仿宋_GB2312" w:cs="仿宋_GB2312" w:eastAsia="仿宋_GB2312"/>
                <w:sz w:val="21"/>
              </w:rPr>
              <w:t>3.质量要求及标准：</w:t>
            </w:r>
            <w:r>
              <w:rPr>
                <w:rFonts w:ascii="仿宋_GB2312" w:hAnsi="仿宋_GB2312" w:cs="仿宋_GB2312" w:eastAsia="仿宋_GB2312"/>
                <w:sz w:val="21"/>
              </w:rPr>
              <w:t>符合国家现行规范，技术标准及现行行业管理规范。</w:t>
            </w:r>
          </w:p>
          <w:p>
            <w:pPr>
              <w:pStyle w:val="null3"/>
              <w:jc w:val="both"/>
            </w:pPr>
            <w:r>
              <w:rPr>
                <w:rFonts w:ascii="仿宋_GB2312" w:hAnsi="仿宋_GB2312" w:cs="仿宋_GB2312" w:eastAsia="仿宋_GB2312"/>
                <w:sz w:val="21"/>
              </w:rPr>
              <w:t>4.成果要求：</w:t>
            </w:r>
            <w:r>
              <w:rPr>
                <w:rFonts w:ascii="仿宋_GB2312" w:hAnsi="仿宋_GB2312" w:cs="仿宋_GB2312" w:eastAsia="仿宋_GB2312"/>
                <w:sz w:val="21"/>
              </w:rPr>
              <w:t>按照行业规范提交经采购人及相关部门审查通过的设计合格成果。提供审定后的相关报告及施工图纸的纸质文件 8 份、电子文档1 份。</w:t>
            </w:r>
          </w:p>
          <w:p>
            <w:pPr>
              <w:pStyle w:val="null3"/>
              <w:jc w:val="both"/>
            </w:pPr>
            <w:r>
              <w:rPr>
                <w:rFonts w:ascii="仿宋_GB2312" w:hAnsi="仿宋_GB2312" w:cs="仿宋_GB2312" w:eastAsia="仿宋_GB2312"/>
                <w:sz w:val="21"/>
              </w:rPr>
              <w:t>5.后续服务要求：</w:t>
            </w:r>
            <w:r>
              <w:rPr>
                <w:rFonts w:ascii="仿宋_GB2312" w:hAnsi="仿宋_GB2312" w:cs="仿宋_GB2312" w:eastAsia="仿宋_GB2312"/>
                <w:sz w:val="21"/>
              </w:rPr>
              <w:t>成交供应商需在签订合同后，随时做好与本项目后续的承接工作，包括：项目施工期间的一系列技术服务，参与后期技术交底工作，并配合采购人处理施工过程中出现的技术问题以及工程施工中和施工后发生的工程变更的修改和工程量的增减修改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内容和技术规格要求的标准，由采购人组织验收，其内容包括是否按照采购人要求进行服务、是否在规定时间内服务完毕；验收合格须交接项目实施的全部资料，并填写采购项目验收报告单。验收须以竞争性磋商文件、磋商响应文件、合同、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验收通过后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3.本项目所属行业为其他未列明行业，从业人员300人以下的为中小微型企业。其中，从业人员100人及以上的为中型企业；从业人员10人及以上的为小型企业；从业人员10人以下的为微型企业。3、本项目采购预算金额：1,000,000.00，最高限价：760,000.00元，供应商磋商报价不允许超过最高限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响应文件-资格证明文件.docx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响应文件-资格证明文件.docx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法定代表人参加投标须提供《法定代表人身份证明》及身份证扫描件；法定代表人授权他人参加投标，须提供《法定代表人授权委托书》、委托代理人身份证扫描件；</w:t>
            </w:r>
          </w:p>
        </w:tc>
        <w:tc>
          <w:tcPr>
            <w:tcW w:type="dxa" w:w="1661"/>
          </w:tcPr>
          <w:p>
            <w:pPr>
              <w:pStyle w:val="null3"/>
            </w:pPr>
            <w:r>
              <w:rPr>
                <w:rFonts w:ascii="仿宋_GB2312" w:hAnsi="仿宋_GB2312" w:cs="仿宋_GB2312" w:eastAsia="仿宋_GB2312"/>
              </w:rPr>
              <w:t>响应文件-资格证明文件.docx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供应商具有行政主管部门核发的工程设计综合甲级资质或建筑行业工程设计乙级及以上资质或建筑行业（建筑工程）乙级以上资质。</w:t>
            </w:r>
          </w:p>
        </w:tc>
        <w:tc>
          <w:tcPr>
            <w:tcW w:type="dxa" w:w="1661"/>
          </w:tcPr>
          <w:p>
            <w:pPr>
              <w:pStyle w:val="null3"/>
            </w:pPr>
            <w:r>
              <w:rPr>
                <w:rFonts w:ascii="仿宋_GB2312" w:hAnsi="仿宋_GB2312" w:cs="仿宋_GB2312" w:eastAsia="仿宋_GB2312"/>
              </w:rPr>
              <w:t>响应文件-资格证明文件.docx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响应文件-资格证明文件.docx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响应文件-商务技术文件.docx 中小企业声明函 残疾人福利性单位声明函 标的清单 报价表 响应文件-资格证明文件.docx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响应文件-商务技术文件.docx 中小企业声明函 残疾人福利性单位声明函 标的清单 报价表 响应函 响应文件-资格证明文件.docx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评审内容 对本项目的理解程度包括:①对项目背景与相关政策解读②工作内容、要求和工作范围等③项目设计工作中的重点进行分析④现状解析及改造策略； 评审标准 1、完整性：方案须全面，对评审内容中的各项要求有详细描述； 2、可实施性：切合本项目实际情况，实施步骤清晰、合理； 3、针对性：方案能够紧扣项目实际情况，内容科学合理。 赋分标准（满分12分） ①对项目背景与相关政策解读：每完全满足一个评审标准得1分，满分3分； ②工作内容、要求和工作范围等：每完全满足一个评审标准得1分，满分3分； ③项目设计工作中的重点进行分析：每完全满足一个评审标准得1分，满分3分；④现状解析及改造策略：每完全满足一个评审标准得1分，满分3分； （每项针对评审标准存在有不合理处的扣0.5分）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针对本项目提供的设计服务方案包括：①设计范围和内容、依据②设计总体方案③安全保障措施④设计工作协调措施⑤成果控制保障措施； 评审标准 1、完整性：方案须全面，对评审内容中的各项要求有详细描述； 2、可实施性：切合本项目实际情况，实施步骤清晰、合理； 3、针对性：方案能够紧扣项目实际情况，内容科学合理。 赋分标准（满分30分） ①设计范围和内容、依据：每完全满足一个评审标准得2分，满分6分； ②设计总体方案：每完全满足一个评审标准得2分，满分6分； ③安全保障措施：每完全满足一个评审标准得2分，满分6分； ④设计工作协调措施：每完全满足一个评审标准得2分，满分6分； ⑤成果控制保障措施：每完全满足一个评审标准得2分，满分6分； （每项针对评审标准存在有不合理处的扣0.5分）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 对本项目提供的质量保障措施内容包括①质量保障承诺措施②设计阶段工期控制； 评审标准 1、完整性：方案须全面，对评审内容中的各项要求有详细描述； 2、可实施性：切合本项目实际情况，实施步骤清晰、合理； 3、针对性：方案能够紧扣项目实际情况，内容科学合理。 赋分标准（满分9分） ①质量保障承诺措施：每完全满足一个评审标准得1.5分，满分4.5分；②设计阶段工期控制：每完全满足一个评审标准得1.5分，满分4.5分；（每项针对评审标准存在有不合理处的扣0.5分）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评审内容 对本项目提供的进度安排及保障措施内容，包括①进度计划②进度保障措施； 评审标准 1、完整性：方案须全面，对评审内容中的各项要求有详细描述； 2、可实施性：切合本项目实际情况，实施步骤清晰、合理； 3、针对性：方案能够紧扣项目实际情况，内容科学合理。 赋分标准（满分9分） ①进度计划：每完全满足一个评审标准得1.5分，满分4.5分；②进度保障措施：每完全满足一个评审标准得1.5分，满分4.5分；（每项针对评审标准存在有不合理处的扣0.5分）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针对本项目在服务工作中的常见问题进行梳理，具有的良好的解决方案并及时向采购人提出合理化建议，每提供一条有效且合理的建议得1分，满分3分。不提供不得分。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供应商提供（2023年2月至今)已完成业绩，提供1 个业绩得 2 分，最多得6分，未提供不得分(注： 业绩证明材料为合同或中标(成交)通知书)，以上材料提供齐全为有效业绩，无效业绩不得分。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1、拟派项目负责人（1人）：具有建筑设计相关专业中级及以上职称证书的得3分，本项最高得3分。 2、拟派项目其他人员具有建筑设计相关专业中级及以上职称证书，每提供一人的得1.5分， 本项最高得6分。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对本项目提供的后续服务方案包括：①后续工作配合承诺及措施②后续服务响应时间；③应急预案④保密措施； 评审标准 1、完整性：方案须全面，对评审内容中的各项要求有详细描述； 2、可实施性：切合本项目实际情况，实施步骤清晰、合理； 3、针对性：方案能够紧扣项目实际情况，内容科学合理。 赋分标准（满分12分） ①后续工作配合承诺及措施：每完全满足一个评审标准得1分，满分3分；②后续服务响应时间：每完全满足一个评审标准得1分，满分3分；③应急预案：每完全满足一个评审标准得1分，满分3分；④保密措施：每完全满足一个评审标准得1分，满分3分；（每项针对评审标准存在有不合理处的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详见附件：响应文件-资格证明文件.docx</w:t>
      </w:r>
    </w:p>
    <w:p>
      <w:pPr>
        <w:pStyle w:val="null3"/>
        <w:ind w:firstLine="960"/>
      </w:pPr>
      <w:r>
        <w:rPr>
          <w:rFonts w:ascii="仿宋_GB2312" w:hAnsi="仿宋_GB2312" w:cs="仿宋_GB2312" w:eastAsia="仿宋_GB2312"/>
        </w:rPr>
        <w:t>详见附件：响应文件-商务技术文件.docx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