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0A499">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14:paraId="652E9664">
      <w:pPr>
        <w:pStyle w:val="8"/>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14:paraId="6E90B4D0">
      <w:pPr>
        <w:pStyle w:val="8"/>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14:paraId="77344166">
      <w:pPr>
        <w:pStyle w:val="8"/>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14:paraId="56EDD45A">
      <w:pPr>
        <w:pStyle w:val="8"/>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14:paraId="720575B8">
      <w:pPr>
        <w:pStyle w:val="8"/>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14:paraId="05A724CA">
      <w:pPr>
        <w:pStyle w:val="8"/>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w:t>
      </w:r>
      <w:r>
        <w:rPr>
          <w:rFonts w:hint="eastAsia" w:ascii="宋体" w:hAnsi="宋体"/>
          <w:sz w:val="21"/>
          <w:szCs w:val="21"/>
          <w:lang w:val="en-US" w:eastAsia="zh-CN"/>
        </w:rPr>
        <w:t>和</w:t>
      </w:r>
      <w:r>
        <w:rPr>
          <w:rFonts w:hint="eastAsia" w:ascii="宋体" w:hAnsi="宋体" w:eastAsia="宋体" w:cs="宋体"/>
          <w:sz w:val="21"/>
          <w:szCs w:val="21"/>
        </w:rPr>
        <w:t>2026年城固县老旧小区改造设计采购项目</w:t>
      </w:r>
      <w:r>
        <w:rPr>
          <w:rFonts w:hint="eastAsia" w:ascii="宋体" w:hAnsi="宋体" w:eastAsia="宋体"/>
          <w:sz w:val="21"/>
          <w:szCs w:val="21"/>
        </w:rPr>
        <w:t>（采购项目编号：</w:t>
      </w:r>
      <w:r>
        <w:rPr>
          <w:rFonts w:hint="eastAsia" w:ascii="宋体" w:hAnsi="宋体"/>
          <w:sz w:val="21"/>
          <w:szCs w:val="21"/>
          <w:lang w:eastAsia="zh-CN"/>
        </w:rPr>
        <w:t>ZLJZB-26-00</w:t>
      </w:r>
      <w:r>
        <w:rPr>
          <w:rFonts w:hint="eastAsia" w:ascii="宋体" w:hAnsi="宋体"/>
          <w:sz w:val="21"/>
          <w:szCs w:val="21"/>
          <w:lang w:val="en-US" w:eastAsia="zh-CN"/>
        </w:rPr>
        <w:t>2</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14:paraId="4C79A3A3">
      <w:pPr>
        <w:pageBreakBefore w:val="0"/>
        <w:numPr>
          <w:ilvl w:val="0"/>
          <w:numId w:val="1"/>
        </w:numPr>
        <w:kinsoku/>
        <w:wordWrap/>
        <w:overflowPunct/>
        <w:topLinePunct w:val="0"/>
        <w:bidi w:val="0"/>
        <w:spacing w:before="120" w:beforeLines="50" w:after="120" w:afterLines="50" w:line="360" w:lineRule="auto"/>
        <w:ind w:left="1519" w:hanging="1094"/>
        <w:rPr>
          <w:rFonts w:hint="eastAsia" w:ascii="宋体" w:hAnsi="宋体" w:eastAsia="宋体" w:cs="Times New Roman"/>
          <w:b/>
          <w:sz w:val="30"/>
          <w:szCs w:val="30"/>
        </w:rPr>
      </w:pPr>
      <w:r>
        <w:rPr>
          <w:rFonts w:hint="eastAsia" w:ascii="宋体" w:hAnsi="宋体" w:eastAsia="宋体" w:cs="Times New Roman"/>
          <w:b/>
          <w:sz w:val="30"/>
          <w:szCs w:val="30"/>
        </w:rPr>
        <w:t>项目基本情况</w:t>
      </w:r>
    </w:p>
    <w:p w14:paraId="3DCC1252">
      <w:pPr>
        <w:pStyle w:val="10"/>
        <w:keepNext w:val="0"/>
        <w:keepLines w:val="0"/>
        <w:pageBreakBefore w:val="0"/>
        <w:widowControl/>
        <w:kinsoku/>
        <w:wordWrap/>
        <w:overflowPunct/>
        <w:topLinePunct w:val="0"/>
        <w:autoSpaceDE/>
        <w:autoSpaceDN/>
        <w:bidi w:val="0"/>
        <w:adjustRightInd/>
        <w:snapToGrid/>
        <w:spacing w:line="360" w:lineRule="auto"/>
        <w:ind w:firstLine="482"/>
        <w:textAlignment w:val="auto"/>
        <w:rPr>
          <w:rFonts w:hint="eastAsia" w:ascii="宋体" w:hAnsi="宋体" w:eastAsia="宋体" w:cs="宋体"/>
          <w:color w:val="auto"/>
          <w:kern w:val="2"/>
          <w:sz w:val="21"/>
          <w:szCs w:val="21"/>
          <w:highlight w:val="none"/>
          <w:lang w:val="en-US" w:eastAsia="zh-CN" w:bidi="ar-SA"/>
        </w:rPr>
      </w:pPr>
      <w:bookmarkStart w:id="0" w:name="OLE_LINK6"/>
      <w:bookmarkStart w:id="1" w:name="_Toc29385_WPSOffice_Level2"/>
      <w:r>
        <w:rPr>
          <w:rFonts w:hint="eastAsia" w:ascii="宋体" w:hAnsi="宋体" w:eastAsia="宋体" w:cs="宋体"/>
          <w:kern w:val="2"/>
          <w:sz w:val="21"/>
          <w:szCs w:val="21"/>
          <w:lang w:val="en-US" w:eastAsia="zh-CN" w:bidi="ar-SA"/>
        </w:rPr>
        <w:t>主要内容为：对城固县盐务局家属楼、邮政局家属楼、景苑小区、征稽所家属楼、金龙1号小区(文化路)、电影公司(临街)、新华书店小区、辛福南巷5号楼、文东8号楼、东升小区、城市新苑、开阳大院、玉顺小区、泛亚小区、新纪元小区(12-16号楼)、民生巷商住楼、马桩口53号、大西街(栖月楼)、鹏达小区、广场小区、东方红小区、金龙小区3号楼、小西关小区一栋、二栋、金阳名居、汉龙小区、宽科名居、北城龙湾、东二路小区等28个老旧小</w:t>
      </w:r>
      <w:r>
        <w:rPr>
          <w:rFonts w:hint="eastAsia" w:ascii="宋体" w:hAnsi="宋体" w:eastAsia="宋体" w:cs="宋体"/>
          <w:color w:val="auto"/>
          <w:kern w:val="2"/>
          <w:sz w:val="21"/>
          <w:szCs w:val="21"/>
          <w:highlight w:val="none"/>
          <w:lang w:val="en-US" w:eastAsia="zh-CN" w:bidi="ar-SA"/>
        </w:rPr>
        <w:t>区</w:t>
      </w:r>
      <w:bookmarkEnd w:id="0"/>
      <w:r>
        <w:rPr>
          <w:rFonts w:hint="eastAsia" w:ascii="宋体" w:hAnsi="宋体" w:eastAsia="宋体" w:cs="宋体"/>
          <w:color w:val="auto"/>
          <w:kern w:val="2"/>
          <w:sz w:val="21"/>
          <w:szCs w:val="21"/>
          <w:highlight w:val="none"/>
          <w:lang w:val="en-US" w:eastAsia="zh-CN" w:bidi="ar-SA"/>
        </w:rPr>
        <w:t>进行改造设计及相关后续服务等。</w:t>
      </w:r>
    </w:p>
    <w:p w14:paraId="2920BBB1">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合同期限</w:t>
      </w:r>
      <w:bookmarkEnd w:id="1"/>
    </w:p>
    <w:p w14:paraId="4E9D7174">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服务期限：</w:t>
      </w:r>
      <w:r>
        <w:rPr>
          <w:rFonts w:hint="eastAsia" w:ascii="宋体" w:hAnsi="宋体" w:cs="宋体"/>
          <w:color w:val="auto"/>
          <w:kern w:val="2"/>
          <w:sz w:val="21"/>
          <w:szCs w:val="21"/>
          <w:highlight w:val="none"/>
          <w:lang w:val="en-US" w:eastAsia="zh-CN" w:bidi="ar-SA"/>
        </w:rPr>
        <w:t>30日</w:t>
      </w:r>
    </w:p>
    <w:p w14:paraId="73CDEE6B">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2" w:name="_Toc2495_WPSOffice_Level2"/>
      <w:bookmarkStart w:id="3" w:name="_Toc185395249"/>
      <w:bookmarkStart w:id="4" w:name="_Toc225654644"/>
      <w:bookmarkStart w:id="5" w:name="_Toc286993786"/>
      <w:bookmarkStart w:id="6" w:name="_Toc283019214"/>
      <w:bookmarkStart w:id="7" w:name="_Toc211911348"/>
      <w:bookmarkStart w:id="8" w:name="_Toc211854449"/>
      <w:bookmarkStart w:id="9" w:name="_Toc241833903"/>
      <w:bookmarkStart w:id="10" w:name="_Toc239233914"/>
      <w:bookmarkStart w:id="11" w:name="_Toc237145406"/>
      <w:bookmarkStart w:id="12" w:name="_Toc238984975"/>
      <w:bookmarkStart w:id="13" w:name="_Toc239568418"/>
      <w:bookmarkStart w:id="14" w:name="_Toc251768862"/>
      <w:bookmarkStart w:id="15" w:name="_Toc232492928"/>
      <w:bookmarkStart w:id="16" w:name="_Toc282696226"/>
      <w:bookmarkStart w:id="17" w:name="_Toc247334841"/>
      <w:bookmarkStart w:id="18" w:name="_Toc212019594"/>
      <w:bookmarkStart w:id="19" w:name="_Toc225670751"/>
      <w:bookmarkStart w:id="20" w:name="_Toc225244852"/>
      <w:r>
        <w:rPr>
          <w:rFonts w:hint="eastAsia" w:ascii="宋体" w:hAnsi="宋体" w:eastAsia="宋体" w:cs="Times New Roman"/>
          <w:b/>
          <w:color w:val="auto"/>
          <w:sz w:val="30"/>
          <w:szCs w:val="30"/>
          <w:highlight w:val="none"/>
        </w:rPr>
        <w:t>服务内容与质量标准</w:t>
      </w:r>
      <w:bookmarkEnd w:id="2"/>
    </w:p>
    <w:p w14:paraId="28CB1812">
      <w:pPr>
        <w:pageBreakBefore w:val="0"/>
        <w:kinsoku/>
        <w:wordWrap/>
        <w:overflowPunct/>
        <w:topLinePunct w:val="0"/>
        <w:bidi w:val="0"/>
        <w:snapToGrid/>
        <w:spacing w:line="360" w:lineRule="auto"/>
        <w:ind w:firstLine="630" w:firstLineChars="3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14:paraId="77DC2EC7">
      <w:pPr>
        <w:pageBreakBefore w:val="0"/>
        <w:numPr>
          <w:ilvl w:val="0"/>
          <w:numId w:val="1"/>
        </w:numPr>
        <w:kinsoku/>
        <w:wordWrap/>
        <w:overflowPunct/>
        <w:topLinePunct w:val="0"/>
        <w:bidi w:val="0"/>
        <w:snapToGrid/>
        <w:spacing w:before="120" w:beforeLines="50" w:after="120" w:afterLines="50" w:line="360" w:lineRule="auto"/>
        <w:ind w:left="1661" w:hanging="1094"/>
        <w:rPr>
          <w:rFonts w:hint="eastAsia" w:ascii="宋体" w:hAnsi="宋体" w:eastAsia="宋体" w:cs="Times New Roman"/>
          <w:b/>
          <w:color w:val="auto"/>
          <w:sz w:val="30"/>
          <w:szCs w:val="30"/>
          <w:highlight w:val="none"/>
        </w:rPr>
      </w:pPr>
      <w:bookmarkStart w:id="21" w:name="_Toc14493_WPSOffice_Level2"/>
      <w:r>
        <w:rPr>
          <w:rFonts w:hint="eastAsia" w:ascii="宋体" w:hAnsi="宋体" w:eastAsia="宋体" w:cs="Times New Roman"/>
          <w:b/>
          <w:color w:val="auto"/>
          <w:sz w:val="30"/>
          <w:szCs w:val="30"/>
          <w:highlight w:val="none"/>
        </w:rPr>
        <w:t>服务费用</w:t>
      </w:r>
      <w:bookmarkEnd w:id="21"/>
    </w:p>
    <w:p w14:paraId="75E04443">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2"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14:paraId="3FA03BF5">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14:paraId="2370401A">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3" w:name="OLE_LINK12"/>
      <w:r>
        <w:rPr>
          <w:rFonts w:hint="eastAsia" w:ascii="宋体" w:hAnsi="宋体" w:eastAsia="宋体" w:cs="Times New Roman"/>
          <w:color w:val="auto"/>
          <w:szCs w:val="21"/>
          <w:highlight w:val="none"/>
        </w:rPr>
        <w:t>含乙方后期服务费用。</w:t>
      </w:r>
    </w:p>
    <w:p w14:paraId="125511D2">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3"/>
      <w:r>
        <w:rPr>
          <w:rFonts w:hint="eastAsia" w:ascii="宋体" w:hAnsi="宋体" w:eastAsia="宋体" w:cs="Times New Roman"/>
          <w:color w:val="auto"/>
          <w:szCs w:val="21"/>
          <w:highlight w:val="none"/>
        </w:rPr>
        <w:t>不变，甲方无须另向乙方支付本合同规定之外的其他任何费用。</w:t>
      </w:r>
    </w:p>
    <w:p w14:paraId="6CC58A5A">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2"/>
    </w:p>
    <w:p w14:paraId="33C20E22">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付款条件说明：</w:t>
      </w:r>
    </w:p>
    <w:p w14:paraId="6B50AB9D">
      <w:pPr>
        <w:pageBreakBefore w:val="0"/>
        <w:kinsoku/>
        <w:wordWrap/>
        <w:overflowPunct/>
        <w:topLinePunct w:val="0"/>
        <w:bidi w:val="0"/>
        <w:snapToGrid/>
        <w:spacing w:line="360" w:lineRule="auto"/>
        <w:ind w:firstLine="735" w:firstLineChars="35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1.合同签订生效后，达到付款条件起30日内，支付合同总金额的40.00%。</w:t>
      </w:r>
    </w:p>
    <w:p w14:paraId="6114DDF5">
      <w:pPr>
        <w:pStyle w:val="10"/>
        <w:keepNext w:val="0"/>
        <w:keepLines w:val="0"/>
        <w:pageBreakBefore w:val="0"/>
        <w:kinsoku/>
        <w:wordWrap/>
        <w:overflowPunct/>
        <w:topLinePunct w:val="0"/>
        <w:autoSpaceDE/>
        <w:autoSpaceDN/>
        <w:bidi w:val="0"/>
        <w:adjustRightInd w:val="0"/>
        <w:snapToGrid w:val="0"/>
        <w:spacing w:line="40" w:lineRule="atLeast"/>
        <w:ind w:firstLine="840" w:firstLineChars="400"/>
        <w:textAlignment w:val="auto"/>
        <w:rPr>
          <w:rFonts w:hint="eastAsia" w:ascii="宋体" w:hAnsi="宋体" w:eastAsia="Arial Unicode MS" w:cs="Times New Roman"/>
          <w:color w:val="auto"/>
          <w:kern w:val="2"/>
          <w:sz w:val="21"/>
          <w:szCs w:val="21"/>
          <w:highlight w:val="none"/>
          <w:lang w:val="en-US" w:eastAsia="zh-CN" w:bidi="ar-SA"/>
        </w:rPr>
      </w:pPr>
      <w:r>
        <w:rPr>
          <w:rFonts w:hint="eastAsia" w:ascii="宋体" w:hAnsi="宋体" w:eastAsia="Arial Unicode MS" w:cs="Times New Roman"/>
          <w:color w:val="auto"/>
          <w:kern w:val="2"/>
          <w:sz w:val="21"/>
          <w:szCs w:val="21"/>
          <w:highlight w:val="none"/>
          <w:lang w:val="en-US" w:eastAsia="zh-CN" w:bidi="ar-SA"/>
        </w:rPr>
        <w:t>2.验收通过后 ，达到付款条件起 30 日内，支付合同总金额的 60.00%。</w:t>
      </w:r>
      <w:bookmarkStart w:id="69" w:name="_GoBack"/>
      <w:bookmarkEnd w:id="69"/>
    </w:p>
    <w:p w14:paraId="7F219050">
      <w:pPr>
        <w:keepNext w:val="0"/>
        <w:keepLines w:val="0"/>
        <w:pageBreakBefore w:val="0"/>
        <w:kinsoku/>
        <w:wordWrap/>
        <w:overflowPunct/>
        <w:topLinePunct w:val="0"/>
        <w:autoSpaceDE/>
        <w:autoSpaceDN/>
        <w:bidi w:val="0"/>
        <w:adjustRightInd w:val="0"/>
        <w:snapToGrid w:val="0"/>
        <w:spacing w:line="40" w:lineRule="atLeast"/>
        <w:ind w:firstLine="945" w:firstLineChars="450"/>
        <w:textAlignment w:val="auto"/>
        <w:rPr>
          <w:rFonts w:hint="eastAsia" w:ascii="宋体" w:hAnsi="宋体" w:eastAsia="宋体" w:cs="Times New Roman"/>
          <w:color w:val="auto"/>
          <w:szCs w:val="21"/>
          <w:highlight w:val="none"/>
          <w:lang w:val="zh-CN"/>
        </w:rPr>
      </w:pPr>
    </w:p>
    <w:p w14:paraId="07AEB696">
      <w:pPr>
        <w:keepNext w:val="0"/>
        <w:keepLines w:val="0"/>
        <w:pageBreakBefore w:val="0"/>
        <w:kinsoku/>
        <w:wordWrap/>
        <w:overflowPunct/>
        <w:topLinePunct w:val="0"/>
        <w:autoSpaceDE/>
        <w:autoSpaceDN/>
        <w:bidi w:val="0"/>
        <w:adjustRightInd w:val="0"/>
        <w:snapToGrid w:val="0"/>
        <w:spacing w:line="40" w:lineRule="atLeast"/>
        <w:ind w:firstLine="945" w:firstLineChars="450"/>
        <w:textAlignment w:val="auto"/>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lang w:val="zh-CN"/>
        </w:rPr>
        <w:t>采用银行转账支付方式</w:t>
      </w:r>
    </w:p>
    <w:p w14:paraId="292EDED9">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4" w:name="_Toc11429_WPSOffice_Level2"/>
      <w:r>
        <w:rPr>
          <w:rFonts w:hint="eastAsia" w:ascii="宋体" w:hAnsi="宋体" w:eastAsia="宋体" w:cs="Times New Roman"/>
          <w:b/>
          <w:color w:val="auto"/>
          <w:sz w:val="30"/>
          <w:szCs w:val="30"/>
          <w:highlight w:val="none"/>
        </w:rPr>
        <w:t>第六条   知识产权</w:t>
      </w:r>
      <w:bookmarkEnd w:id="24"/>
    </w:p>
    <w:p w14:paraId="6568F097">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5"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14:paraId="53A9E79B">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5"/>
    </w:p>
    <w:p w14:paraId="15D7D93A">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14:paraId="04DA2CA8">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6" w:name="_Toc9129_WPSOffice_Level2"/>
      <w:r>
        <w:rPr>
          <w:rFonts w:hint="eastAsia" w:ascii="宋体" w:hAnsi="宋体" w:eastAsia="宋体" w:cs="Times New Roman"/>
          <w:b/>
          <w:color w:val="auto"/>
          <w:sz w:val="30"/>
          <w:szCs w:val="30"/>
          <w:highlight w:val="none"/>
        </w:rPr>
        <w:t>第八条   履约保证金</w:t>
      </w:r>
      <w:bookmarkEnd w:id="26"/>
    </w:p>
    <w:p w14:paraId="15CD6BBF">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4F24B606">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14:paraId="1A05AEC0">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14:paraId="2FADC081">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14:paraId="119AD202">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14:paraId="0F76CDF0">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7"/>
    </w:p>
    <w:p w14:paraId="30D98B2F">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14:paraId="00F55F33">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14:paraId="4CEA8973">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14:paraId="4BDAB02A">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14:paraId="3470736D">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14:paraId="6C132A38">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8"/>
    </w:p>
    <w:p w14:paraId="609DB261">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14:paraId="68775820">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14:paraId="620FDB8E">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14:paraId="32B7B754">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14:paraId="17E0F669">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14:paraId="70918E0D">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9"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9"/>
    </w:p>
    <w:p w14:paraId="06CFBD70">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14:paraId="2605F184">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14:paraId="2D8C4AFC">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30" w:name="_Toc20320_WPSOffice_Level2"/>
      <w:r>
        <w:rPr>
          <w:rFonts w:hint="eastAsia" w:ascii="宋体" w:hAnsi="宋体" w:eastAsia="宋体" w:cs="Times New Roman"/>
          <w:b/>
          <w:color w:val="auto"/>
          <w:sz w:val="30"/>
          <w:szCs w:val="30"/>
          <w:highlight w:val="none"/>
        </w:rPr>
        <w:t>第十二条  不可抗力事件处理</w:t>
      </w:r>
      <w:bookmarkEnd w:id="30"/>
    </w:p>
    <w:p w14:paraId="5C7DD294">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14:paraId="4CC34D42">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14:paraId="59324CA8">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A5876C9">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1" w:name="_Toc232492933"/>
      <w:bookmarkStart w:id="32" w:name="_Toc212019599"/>
      <w:bookmarkStart w:id="33" w:name="_Toc241833908"/>
      <w:bookmarkStart w:id="34" w:name="_Toc225670756"/>
      <w:bookmarkStart w:id="35" w:name="_Toc211854454"/>
      <w:bookmarkStart w:id="36" w:name="_Toc211911353"/>
      <w:bookmarkStart w:id="37" w:name="_Toc238984980"/>
      <w:bookmarkStart w:id="38" w:name="_Toc239233919"/>
      <w:bookmarkStart w:id="39" w:name="_Toc239568423"/>
      <w:bookmarkStart w:id="40" w:name="_Toc286993792"/>
      <w:bookmarkStart w:id="41" w:name="_Toc251768867"/>
      <w:bookmarkStart w:id="42" w:name="_Toc247334846"/>
      <w:bookmarkStart w:id="43" w:name="_Toc225654649"/>
      <w:bookmarkStart w:id="44" w:name="_Toc237145411"/>
      <w:bookmarkStart w:id="45" w:name="_Toc225244857"/>
      <w:bookmarkStart w:id="46" w:name="_Toc185395254"/>
      <w:r>
        <w:rPr>
          <w:rFonts w:hint="eastAsia" w:ascii="宋体" w:hAnsi="宋体" w:eastAsia="宋体" w:cs="Times New Roman"/>
          <w:b/>
          <w:color w:val="auto"/>
          <w:sz w:val="30"/>
          <w:szCs w:val="30"/>
          <w:highlight w:val="none"/>
        </w:rPr>
        <w:t xml:space="preserve">   </w:t>
      </w:r>
      <w:bookmarkStart w:id="47"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7"/>
    </w:p>
    <w:p w14:paraId="123EA90C">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19D2FB71">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8"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8"/>
    </w:p>
    <w:p w14:paraId="17BB943D">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14:paraId="2D28A68B">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14:paraId="133B7FEB">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14:paraId="17A70F91">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14:paraId="03FF45F7">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9" w:name="_Toc211911354"/>
      <w:bookmarkStart w:id="50" w:name="_Toc282696231"/>
      <w:bookmarkStart w:id="51" w:name="_Toc225244858"/>
      <w:bookmarkStart w:id="52" w:name="_Toc237145412"/>
      <w:bookmarkStart w:id="53" w:name="_Toc212019600"/>
      <w:bookmarkStart w:id="54" w:name="_Toc286993793"/>
      <w:bookmarkStart w:id="55" w:name="_Toc225670757"/>
      <w:bookmarkStart w:id="56" w:name="_Toc239568424"/>
      <w:bookmarkStart w:id="57" w:name="_Toc251768868"/>
      <w:bookmarkStart w:id="58" w:name="_Toc241833909"/>
      <w:bookmarkStart w:id="59" w:name="_Toc185395255"/>
      <w:bookmarkStart w:id="60" w:name="_Toc239233920"/>
      <w:bookmarkStart w:id="61" w:name="_Toc211854455"/>
      <w:bookmarkStart w:id="62" w:name="_Toc232492934"/>
      <w:bookmarkStart w:id="63" w:name="_Toc225654650"/>
      <w:bookmarkStart w:id="64" w:name="_Toc283019219"/>
      <w:bookmarkStart w:id="65" w:name="_Toc238984981"/>
      <w:bookmarkStart w:id="66" w:name="_Toc247334847"/>
      <w:bookmarkStart w:id="67"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hint="eastAsia" w:ascii="宋体" w:hAnsi="宋体" w:eastAsia="宋体" w:cs="Times New Roman"/>
          <w:b/>
          <w:color w:val="auto"/>
          <w:sz w:val="30"/>
          <w:szCs w:val="30"/>
          <w:highlight w:val="none"/>
        </w:rPr>
        <w:t>生效及其他</w:t>
      </w:r>
      <w:bookmarkEnd w:id="67"/>
    </w:p>
    <w:p w14:paraId="47185BCA">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14:paraId="25B13063">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64D37910">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14:paraId="1989459A">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8" w:name="_Toc25105_WPSOffice_Level2"/>
      <w:r>
        <w:rPr>
          <w:rFonts w:hint="eastAsia" w:ascii="宋体" w:hAnsi="宋体" w:eastAsia="宋体" w:cs="Times New Roman"/>
          <w:b/>
          <w:color w:val="auto"/>
          <w:sz w:val="30"/>
          <w:szCs w:val="30"/>
          <w:highlight w:val="none"/>
        </w:rPr>
        <w:t>第十五条  附件</w:t>
      </w:r>
      <w:bookmarkEnd w:id="68"/>
    </w:p>
    <w:p w14:paraId="432B85CA">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14:paraId="7228C37D">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14:paraId="5022BA0B">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14:paraId="21750187">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14:paraId="39DFE4C4">
      <w:pPr>
        <w:pStyle w:val="9"/>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14:paraId="4585291F">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14:paraId="0CE530B9">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14:paraId="50F49E67">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14:paraId="3E5DECEA">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14:paraId="51DF4FD9">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14:paraId="063A1A78">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14:paraId="2814B7DB">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14:paraId="7AFDDC68">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14:paraId="6A87D38A">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签约日期：    年  月  日</w:t>
      </w:r>
    </w:p>
    <w:p w14:paraId="5E9D68E4">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14:paraId="40D84798">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14:paraId="08C23C81">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304" w:bottom="1440" w:left="1191" w:header="851" w:footer="992" w:gutter="0"/>
          <w:pgNumType w:fmt="decimal"/>
          <w:cols w:space="720" w:num="1"/>
          <w:titlePg/>
          <w:rtlGutter w:val="0"/>
          <w:docGrid w:linePitch="1" w:charSpace="0"/>
        </w:sectPr>
      </w:pPr>
    </w:p>
    <w:p w14:paraId="76ECD710">
      <w:pPr>
        <w:rPr>
          <w:rFonts w:hint="eastAsia" w:ascii="黑体" w:hAnsi="宋体" w:eastAsia="黑体"/>
          <w:sz w:val="28"/>
          <w:szCs w:val="28"/>
        </w:rPr>
      </w:pPr>
      <w:r>
        <w:rPr>
          <w:rFonts w:hint="eastAsia" w:ascii="黑体" w:hAnsi="宋体" w:eastAsia="黑体"/>
          <w:sz w:val="28"/>
          <w:szCs w:val="28"/>
        </w:rPr>
        <w:t>附件1：</w:t>
      </w:r>
    </w:p>
    <w:p w14:paraId="1AF02949">
      <w:pPr>
        <w:jc w:val="center"/>
        <w:rPr>
          <w:rFonts w:hint="eastAsia" w:ascii="黑体" w:hAnsi="宋体" w:eastAsia="黑体"/>
          <w:sz w:val="36"/>
          <w:szCs w:val="36"/>
        </w:rPr>
      </w:pPr>
      <w:r>
        <w:rPr>
          <w:rFonts w:hint="eastAsia" w:ascii="黑体" w:hAnsi="宋体" w:eastAsia="黑体"/>
          <w:sz w:val="36"/>
          <w:szCs w:val="36"/>
        </w:rPr>
        <w:t>政府采购履约担保函</w:t>
      </w:r>
    </w:p>
    <w:p w14:paraId="15AABB00">
      <w:pPr>
        <w:rPr>
          <w:rFonts w:hint="eastAsia"/>
        </w:rPr>
      </w:pPr>
      <w:r>
        <w:rPr>
          <w:rFonts w:hint="eastAsia"/>
        </w:rPr>
        <w:t xml:space="preserve">                                                            </w:t>
      </w:r>
    </w:p>
    <w:p w14:paraId="66DB0848">
      <w:pPr>
        <w:ind w:firstLine="6615" w:firstLineChars="3150"/>
        <w:rPr>
          <w:rFonts w:hint="eastAsia"/>
          <w:szCs w:val="21"/>
        </w:rPr>
      </w:pPr>
      <w:r>
        <w:rPr>
          <w:rFonts w:hint="eastAsia"/>
          <w:szCs w:val="21"/>
        </w:rPr>
        <w:t xml:space="preserve"> 编号：</w:t>
      </w:r>
    </w:p>
    <w:p w14:paraId="04874386">
      <w:pPr>
        <w:rPr>
          <w:szCs w:val="21"/>
        </w:rPr>
      </w:pPr>
    </w:p>
    <w:p w14:paraId="24830B69">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5DAFFC46">
      <w:pPr>
        <w:spacing w:line="360" w:lineRule="auto"/>
        <w:rPr>
          <w:rFonts w:ascii="宋体" w:hAnsi="宋体"/>
          <w:szCs w:val="21"/>
        </w:rPr>
      </w:pPr>
    </w:p>
    <w:p w14:paraId="696C6749">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14:paraId="637C00B4">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14:paraId="6CD9633C">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14:paraId="58F80C0B">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14:paraId="508DA694">
      <w:pPr>
        <w:spacing w:line="360" w:lineRule="auto"/>
        <w:rPr>
          <w:rFonts w:hint="eastAsia" w:ascii="宋体" w:hAnsi="宋体"/>
          <w:szCs w:val="21"/>
        </w:rPr>
      </w:pPr>
      <w:r>
        <w:rPr>
          <w:rFonts w:hint="eastAsia" w:ascii="宋体" w:hAnsi="宋体"/>
          <w:szCs w:val="21"/>
        </w:rPr>
        <w:t xml:space="preserve">　　2.主合同约定的应当缴纳履约保证金的情形: </w:t>
      </w:r>
    </w:p>
    <w:p w14:paraId="4BDB6FE1">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14:paraId="61B5F65A">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14:paraId="6869E112">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14:paraId="3FEEAC3F">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14:paraId="0A36049C">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14:paraId="4EBFB7CB">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14:paraId="7574B7B5">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14:paraId="6F873F79">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14:paraId="1B265230">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14:paraId="691EE1C6">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14:paraId="4729E764">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14:paraId="3DB11D6F">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14:paraId="53E48006">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14:paraId="794B5475">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14:paraId="1825AB70">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14:paraId="2BC2B8A7">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14:paraId="157E98A3">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077AA146">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14:paraId="12B3BB44">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14:paraId="65A35308">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14:paraId="1ACEBD99">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14:paraId="7B05E7E3">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14:paraId="057DF3F1">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14:paraId="378C5389">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14:paraId="07025DD8">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14:paraId="693E7D72">
      <w:pPr>
        <w:spacing w:line="360" w:lineRule="auto"/>
        <w:rPr>
          <w:rFonts w:hint="eastAsia" w:ascii="宋体" w:hAnsi="宋体"/>
          <w:szCs w:val="21"/>
        </w:rPr>
      </w:pPr>
    </w:p>
    <w:p w14:paraId="261EEA63">
      <w:pPr>
        <w:spacing w:line="360" w:lineRule="auto"/>
        <w:ind w:firstLine="5250" w:firstLineChars="2500"/>
        <w:rPr>
          <w:rFonts w:hint="eastAsia" w:ascii="宋体" w:hAnsi="宋体"/>
          <w:szCs w:val="21"/>
        </w:rPr>
      </w:pPr>
      <w:r>
        <w:rPr>
          <w:rFonts w:hint="eastAsia" w:ascii="宋体" w:hAnsi="宋体"/>
          <w:szCs w:val="21"/>
        </w:rPr>
        <w:t>保证人：（盖单位章）</w:t>
      </w:r>
    </w:p>
    <w:p w14:paraId="12C2659F">
      <w:pPr>
        <w:spacing w:line="360" w:lineRule="auto"/>
        <w:rPr>
          <w:rFonts w:hint="eastAsia" w:ascii="宋体" w:hAnsi="宋体"/>
          <w:szCs w:val="21"/>
        </w:rPr>
      </w:pPr>
      <w:r>
        <w:rPr>
          <w:rFonts w:hint="eastAsia" w:ascii="宋体" w:hAnsi="宋体"/>
          <w:szCs w:val="21"/>
        </w:rPr>
        <w:t xml:space="preserve">                                                     年  月  日</w:t>
      </w:r>
    </w:p>
    <w:p w14:paraId="776C1148"/>
    <w:p w14:paraId="0C2B93ED">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AC615B"/>
    <w:rsid w:val="277D4474"/>
    <w:rsid w:val="68B503FF"/>
    <w:rsid w:val="6DA20C01"/>
    <w:rsid w:val="77F94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1"/>
    <w:basedOn w:val="1"/>
    <w:next w:val="1"/>
    <w:qFormat/>
    <w:uiPriority w:val="99"/>
    <w:pPr>
      <w:keepNext/>
      <w:keepLines/>
      <w:adjustRightInd w:val="0"/>
      <w:spacing w:before="240" w:after="240" w:line="578" w:lineRule="atLeast"/>
      <w:textAlignment w:val="baseline"/>
      <w:outlineLvl w:val="0"/>
    </w:pPr>
    <w:rPr>
      <w:rFonts w:ascii="Tahoma" w:hAnsi="Tahoma"/>
      <w:b/>
      <w:bCs/>
      <w:kern w:val="44"/>
      <w:sz w:val="2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1"/>
    <w:qFormat/>
    <w:uiPriority w:val="0"/>
    <w:pPr>
      <w:spacing w:line="360" w:lineRule="auto"/>
    </w:pPr>
    <w:rPr>
      <w:rFonts w:ascii="Tahoma" w:hAnsi="Tahoma"/>
    </w:rPr>
  </w:style>
  <w:style w:type="paragraph" w:styleId="5">
    <w:name w:val="Body Text First Indent"/>
    <w:basedOn w:val="4"/>
    <w:qFormat/>
    <w:uiPriority w:val="0"/>
    <w:pPr>
      <w:spacing w:after="120" w:line="240" w:lineRule="auto"/>
      <w:ind w:firstLine="100" w:firstLineChars="100"/>
    </w:pPr>
  </w:style>
  <w:style w:type="paragraph" w:customStyle="1" w:styleId="8">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9">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3401</Words>
  <Characters>3485</Characters>
  <Lines>0</Lines>
  <Paragraphs>0</Paragraphs>
  <TotalTime>2</TotalTime>
  <ScaleCrop>false</ScaleCrop>
  <LinksUpToDate>false</LinksUpToDate>
  <CharactersWithSpaces>4140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2026-02-11T07:33:00Z</dcterms:created>
  <dc:creator>Administrator</dc:creator>
  <cp:lastModifiedBy>想去旅行</cp:lastModifiedBy>
  <dcterms:modified xsi:type="dcterms:W3CDTF">2026-03-06T07:23:25Z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134F49989F644D4682D3868CEF72FEBC_12</vt:lpwstr>
  </property>
</Properties>
</file>