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版本号：SXBPRZB-2026-0103.120260306001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乡村“通则式”管理规定编制项目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SXBPRZB-2026-0103.1</w:t>
      </w:r>
      <w:r>
        <w:br/>
      </w:r>
      <w:r>
        <w:br/>
      </w:r>
      <w:r>
        <w:br/>
      </w:r>
    </w:p>
    <w:p>
      <w:pPr>
        <w:pStyle w:val="null3"/>
        <w:jc w:val="center"/>
        <w:outlineLvl w:val="2"/>
      </w:pPr>
      <w:r>
        <w:rPr>
          <w:rFonts w:ascii="仿宋_GB2312" w:hAnsi="仿宋_GB2312" w:cs="仿宋_GB2312" w:eastAsia="仿宋_GB2312"/>
          <w:sz w:val="28"/>
          <w:b/>
        </w:rPr>
        <w:t>城固县自然资源局</w:t>
      </w:r>
    </w:p>
    <w:p>
      <w:pPr>
        <w:pStyle w:val="null3"/>
        <w:jc w:val="center"/>
        <w:outlineLvl w:val="2"/>
      </w:pPr>
      <w:r>
        <w:rPr>
          <w:rFonts w:ascii="仿宋_GB2312" w:hAnsi="仿宋_GB2312" w:cs="仿宋_GB2312" w:eastAsia="仿宋_GB2312"/>
          <w:sz w:val="28"/>
          <w:b/>
        </w:rPr>
        <w:t>陕西博鹏瑞项目管理有限公司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陕西博鹏瑞项目管理有限公司</w:t>
      </w:r>
      <w:r>
        <w:rPr>
          <w:rFonts w:ascii="仿宋_GB2312" w:hAnsi="仿宋_GB2312" w:cs="仿宋_GB2312" w:eastAsia="仿宋_GB2312"/>
        </w:rPr>
        <w:t>（以下简称“代理机构”）受</w:t>
      </w:r>
      <w:r>
        <w:rPr>
          <w:rFonts w:ascii="仿宋_GB2312" w:hAnsi="仿宋_GB2312" w:cs="仿宋_GB2312" w:eastAsia="仿宋_GB2312"/>
        </w:rPr>
        <w:t>城固县自然资源局</w:t>
      </w:r>
      <w:r>
        <w:rPr>
          <w:rFonts w:ascii="仿宋_GB2312" w:hAnsi="仿宋_GB2312" w:cs="仿宋_GB2312" w:eastAsia="仿宋_GB2312"/>
        </w:rPr>
        <w:t>委托，拟对</w:t>
      </w:r>
      <w:r>
        <w:rPr>
          <w:rFonts w:ascii="仿宋_GB2312" w:hAnsi="仿宋_GB2312" w:cs="仿宋_GB2312" w:eastAsia="仿宋_GB2312"/>
        </w:rPr>
        <w:t>乡村“通则式”管理规定编制项目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SXBPRZB-2026-0103.1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乡村“通则式”管理规定编制项目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为加快城固县乡村地区国土空间规划编制和实施，实现乡村地区规划管理全覆盖，为乡村振兴各类开发建设活动提供 规划依据，特启动城固县80个村“通则式”管理规定编制工作。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采购包1（完成80个村通则式规划编制）：属于专门面向中小企业采购。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1、营业执照：具有独立承担民事责任能力的法定代表人、其他组织或自然人，营业执照、组织机 构代码证、税务登记证（多证合一只提供营业执照，事业单位提供事业单位法定代 表人证书，自然人提供本人身份证）合法有效；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 直接参加投标只须提供法定代表人身份证）；</w:t>
      </w:r>
    </w:p>
    <w:p>
      <w:pPr>
        <w:pStyle w:val="null3"/>
      </w:pPr>
      <w:r>
        <w:rPr>
          <w:rFonts w:ascii="仿宋_GB2312" w:hAnsi="仿宋_GB2312" w:cs="仿宋_GB2312" w:eastAsia="仿宋_GB2312"/>
        </w:rPr>
        <w:t>3、承诺函：响应《汉中市政府采购供应商资格承诺函》</w:t>
      </w:r>
    </w:p>
    <w:p>
      <w:pPr>
        <w:pStyle w:val="null3"/>
      </w:pPr>
      <w:r>
        <w:rPr>
          <w:rFonts w:ascii="仿宋_GB2312" w:hAnsi="仿宋_GB2312" w:cs="仿宋_GB2312" w:eastAsia="仿宋_GB2312"/>
        </w:rPr>
        <w:t>4、供应商资格要求：具有国家相关主管部门颁发的城乡规划（国土空间规划）编制资质证书乙级及以上资质（或城乡规划编制乙级及以上资质证书），且项目负责人须具有规划专业中级及以上技术职称。</w:t>
      </w:r>
    </w:p>
    <w:p>
      <w:pPr>
        <w:pStyle w:val="null3"/>
      </w:pPr>
      <w:r>
        <w:rPr>
          <w:rFonts w:ascii="仿宋_GB2312" w:hAnsi="仿宋_GB2312" w:cs="仿宋_GB2312" w:eastAsia="仿宋_GB2312"/>
        </w:rPr>
        <w:t>5、非联合体投标：本项目不接受联合体投标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城固县西环二路中段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城固县自然资源局经办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15891161688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陕西博鹏瑞项目管理有限公司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陕西省汉中市汉台区陕西省汉中市汉台区中山街街道办事处滨江苑小区一号楼一单元904室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15289267453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0916-7203525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开户名称：陕西博鹏瑞项目管理有限公司</w:t>
            </w:r>
          </w:p>
          <w:p>
            <w:pPr>
              <w:pStyle w:val="null3"/>
            </w:pPr>
            <w:r>
              <w:rPr>
                <w:rFonts w:ascii="仿宋_GB2312" w:hAnsi="仿宋_GB2312" w:cs="仿宋_GB2312" w:eastAsia="仿宋_GB2312"/>
              </w:rPr>
              <w:t>开户银行：工行汉中人民路支行</w:t>
            </w:r>
          </w:p>
          <w:p>
            <w:pPr>
              <w:pStyle w:val="null3"/>
            </w:pPr>
            <w:r>
              <w:rPr>
                <w:rFonts w:ascii="仿宋_GB2312" w:hAnsi="仿宋_GB2312" w:cs="仿宋_GB2312" w:eastAsia="仿宋_GB2312"/>
              </w:rPr>
              <w:t>银行账号：2606053619200259834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100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代理服务费收费标准：代理服务费收取标准按照《招标代理服务收费管理暂行办法》计价格[2002]1980号文和发改价格[2011]534号文标准计取，由成交人在领取成交通知书前向代理机构支付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城固县自然资源局</w:t>
      </w:r>
      <w:r>
        <w:rPr>
          <w:rFonts w:ascii="仿宋_GB2312" w:hAnsi="仿宋_GB2312" w:cs="仿宋_GB2312" w:eastAsia="仿宋_GB2312"/>
        </w:rPr>
        <w:t>和</w:t>
      </w:r>
      <w:r>
        <w:rPr>
          <w:rFonts w:ascii="仿宋_GB2312" w:hAnsi="仿宋_GB2312" w:cs="仿宋_GB2312" w:eastAsia="仿宋_GB2312"/>
        </w:rPr>
        <w:t>陕西博鹏瑞项目管理有限公司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陕西博鹏瑞项目管理有限公司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陕西博鹏瑞项目管理有限公司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联系人：黄工</w:t>
      </w:r>
    </w:p>
    <w:p>
      <w:pPr>
        <w:pStyle w:val="null3"/>
      </w:pPr>
      <w:r>
        <w:rPr>
          <w:rFonts w:ascii="仿宋_GB2312" w:hAnsi="仿宋_GB2312" w:cs="仿宋_GB2312" w:eastAsia="仿宋_GB2312"/>
        </w:rPr>
        <w:t>联系电话：15289267453</w:t>
      </w:r>
    </w:p>
    <w:p>
      <w:pPr>
        <w:pStyle w:val="null3"/>
      </w:pPr>
      <w:r>
        <w:rPr>
          <w:rFonts w:ascii="仿宋_GB2312" w:hAnsi="仿宋_GB2312" w:cs="仿宋_GB2312" w:eastAsia="仿宋_GB2312"/>
        </w:rPr>
        <w:t>地址：陕西省汉中市汉台区陕西省汉中市汉台区中山街街道办事处滨江苑小区一号楼一单元904室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为加快城固县乡村地区国土空间规划编制和实施，实现乡村地区规划管理全覆盖，为乡村振兴各类开发建设活动提供 规划依据，特启动城固县80个村“通则式”管理规定编制工作。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810,000.00</w:t>
      </w:r>
    </w:p>
    <w:p>
      <w:pPr>
        <w:pStyle w:val="null3"/>
      </w:pPr>
      <w:r>
        <w:rPr>
          <w:rFonts w:ascii="仿宋_GB2312" w:hAnsi="仿宋_GB2312" w:cs="仿宋_GB2312" w:eastAsia="仿宋_GB2312"/>
        </w:rPr>
        <w:t>采购包最高限价（元）: 810,000.00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完成规划编制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810,000.00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标的名称：完成规划编制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2"/>
                <w:color w:val="000000"/>
              </w:rPr>
              <w:t>为深入贯彻落实《自然资源部中央农村工作领导小组办公室关于学习运用</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千万工 </w:t>
            </w:r>
            <w:r>
              <w:rPr>
                <w:rFonts w:ascii="仿宋_GB2312" w:hAnsi="仿宋_GB2312" w:cs="仿宋_GB2312" w:eastAsia="仿宋_GB2312"/>
                <w:sz w:val="22"/>
                <w:color w:val="000000"/>
              </w:rPr>
              <w:t>程</w:t>
            </w:r>
            <w:r>
              <w:rPr>
                <w:rFonts w:ascii="仿宋_GB2312" w:hAnsi="仿宋_GB2312" w:cs="仿宋_GB2312" w:eastAsia="仿宋_GB2312"/>
                <w:sz w:val="22"/>
                <w:color w:val="000000"/>
              </w:rPr>
              <w:t>”</w:t>
            </w:r>
            <w:r>
              <w:rPr>
                <w:rFonts w:ascii="仿宋_GB2312" w:hAnsi="仿宋_GB2312" w:cs="仿宋_GB2312" w:eastAsia="仿宋_GB2312"/>
                <w:sz w:val="22"/>
                <w:color w:val="000000"/>
              </w:rPr>
              <w:t>经验提高村庄规划编制质量和实效的通知》（自然资发〔</w:t>
            </w:r>
            <w:r>
              <w:rPr>
                <w:rFonts w:ascii="仿宋_GB2312" w:hAnsi="仿宋_GB2312" w:cs="仿宋_GB2312" w:eastAsia="仿宋_GB2312"/>
                <w:sz w:val="22"/>
                <w:color w:val="000000"/>
              </w:rPr>
              <w:t>2024</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1 </w:t>
            </w:r>
            <w:r>
              <w:rPr>
                <w:rFonts w:ascii="仿宋_GB2312" w:hAnsi="仿宋_GB2312" w:cs="仿宋_GB2312" w:eastAsia="仿宋_GB2312"/>
                <w:sz w:val="22"/>
                <w:color w:val="000000"/>
              </w:rPr>
              <w:t>号）、《自然</w:t>
            </w:r>
            <w:r>
              <w:rPr>
                <w:rFonts w:ascii="仿宋_GB2312" w:hAnsi="仿宋_GB2312" w:cs="仿宋_GB2312" w:eastAsia="仿宋_GB2312"/>
                <w:sz w:val="22"/>
                <w:color w:val="000000"/>
              </w:rPr>
              <w:t>资源部办公厅关于乡村地区</w:t>
            </w:r>
            <w:r>
              <w:rPr>
                <w:rFonts w:ascii="仿宋_GB2312" w:hAnsi="仿宋_GB2312" w:cs="仿宋_GB2312" w:eastAsia="仿宋_GB2312"/>
                <w:sz w:val="22"/>
                <w:color w:val="000000"/>
              </w:rPr>
              <w:t>“</w:t>
            </w:r>
            <w:r>
              <w:rPr>
                <w:rFonts w:ascii="仿宋_GB2312" w:hAnsi="仿宋_GB2312" w:cs="仿宋_GB2312" w:eastAsia="仿宋_GB2312"/>
                <w:sz w:val="22"/>
                <w:color w:val="000000"/>
              </w:rPr>
              <w:t>通则式</w:t>
            </w:r>
            <w:r>
              <w:rPr>
                <w:rFonts w:ascii="仿宋_GB2312" w:hAnsi="仿宋_GB2312" w:cs="仿宋_GB2312" w:eastAsia="仿宋_GB2312"/>
                <w:sz w:val="22"/>
                <w:color w:val="000000"/>
              </w:rPr>
              <w:t>”</w:t>
            </w:r>
            <w:r>
              <w:rPr>
                <w:rFonts w:ascii="仿宋_GB2312" w:hAnsi="仿宋_GB2312" w:cs="仿宋_GB2312" w:eastAsia="仿宋_GB2312"/>
                <w:sz w:val="22"/>
                <w:color w:val="000000"/>
              </w:rPr>
              <w:t>规划技术管理规定编制要求的通知》（自然资发</w:t>
            </w:r>
            <w:r>
              <w:rPr>
                <w:rFonts w:ascii="仿宋_GB2312" w:hAnsi="仿宋_GB2312" w:cs="仿宋_GB2312" w:eastAsia="仿宋_GB2312"/>
                <w:sz w:val="22"/>
                <w:color w:val="000000"/>
              </w:rPr>
              <w:t>〔</w:t>
            </w:r>
            <w:r>
              <w:rPr>
                <w:rFonts w:ascii="仿宋_GB2312" w:hAnsi="仿宋_GB2312" w:cs="仿宋_GB2312" w:eastAsia="仿宋_GB2312"/>
                <w:sz w:val="22"/>
                <w:color w:val="000000"/>
              </w:rPr>
              <w:t>2025</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13 </w:t>
            </w:r>
            <w:r>
              <w:rPr>
                <w:rFonts w:ascii="仿宋_GB2312" w:hAnsi="仿宋_GB2312" w:cs="仿宋_GB2312" w:eastAsia="仿宋_GB2312"/>
                <w:sz w:val="22"/>
                <w:color w:val="000000"/>
              </w:rPr>
              <w:t>号）等文件要求，为加快城固县乡村地区国土空间规划编制和实施，实</w:t>
            </w:r>
            <w:r>
              <w:rPr>
                <w:rFonts w:ascii="仿宋_GB2312" w:hAnsi="仿宋_GB2312" w:cs="仿宋_GB2312" w:eastAsia="仿宋_GB2312"/>
                <w:sz w:val="22"/>
                <w:color w:val="000000"/>
              </w:rPr>
              <w:t>现乡村地区规划管理全覆盖，为乡村振兴各类开发建设活动提供规划依据，特启动城固县80个村“通则式”管理规定编制工作</w:t>
            </w:r>
            <w:r>
              <w:rPr>
                <w:rFonts w:ascii="仿宋_GB2312" w:hAnsi="仿宋_GB2312" w:cs="仿宋_GB2312" w:eastAsia="仿宋_GB2312"/>
                <w:sz w:val="22"/>
                <w:color w:val="000000"/>
              </w:rPr>
              <w:t>。</w:t>
            </w:r>
          </w:p>
          <w:p>
            <w:pPr>
              <w:pStyle w:val="null3"/>
            </w:pPr>
            <w:r>
              <w:rPr>
                <w:rFonts w:ascii="仿宋_GB2312" w:hAnsi="仿宋_GB2312" w:cs="仿宋_GB2312" w:eastAsia="仿宋_GB2312"/>
                <w:sz w:val="22"/>
                <w:color w:val="000000"/>
              </w:rPr>
              <w:t>根据《陕西省乡村地区</w:t>
            </w:r>
            <w:r>
              <w:rPr>
                <w:rFonts w:ascii="仿宋_GB2312" w:hAnsi="仿宋_GB2312" w:cs="仿宋_GB2312" w:eastAsia="仿宋_GB2312"/>
                <w:sz w:val="22"/>
                <w:color w:val="000000"/>
              </w:rPr>
              <w:t>“</w:t>
            </w:r>
            <w:r>
              <w:rPr>
                <w:rFonts w:ascii="仿宋_GB2312" w:hAnsi="仿宋_GB2312" w:cs="仿宋_GB2312" w:eastAsia="仿宋_GB2312"/>
                <w:sz w:val="22"/>
                <w:color w:val="000000"/>
              </w:rPr>
              <w:t>通则式</w:t>
            </w:r>
            <w:r>
              <w:rPr>
                <w:rFonts w:ascii="仿宋_GB2312" w:hAnsi="仿宋_GB2312" w:cs="仿宋_GB2312" w:eastAsia="仿宋_GB2312"/>
                <w:sz w:val="22"/>
                <w:color w:val="000000"/>
              </w:rPr>
              <w:t>”</w:t>
            </w:r>
            <w:r>
              <w:rPr>
                <w:rFonts w:ascii="仿宋_GB2312" w:hAnsi="仿宋_GB2312" w:cs="仿宋_GB2312" w:eastAsia="仿宋_GB2312"/>
                <w:sz w:val="22"/>
                <w:color w:val="000000"/>
              </w:rPr>
              <w:t>规划技术管理规定编制要点</w:t>
            </w:r>
            <w:r>
              <w:rPr>
                <w:rFonts w:ascii="仿宋_GB2312" w:hAnsi="仿宋_GB2312" w:cs="仿宋_GB2312" w:eastAsia="仿宋_GB2312"/>
                <w:sz w:val="22"/>
                <w:color w:val="000000"/>
              </w:rPr>
              <w:t>(</w:t>
            </w:r>
            <w:r>
              <w:rPr>
                <w:rFonts w:ascii="仿宋_GB2312" w:hAnsi="仿宋_GB2312" w:cs="仿宋_GB2312" w:eastAsia="仿宋_GB2312"/>
                <w:sz w:val="22"/>
                <w:color w:val="000000"/>
              </w:rPr>
              <w:t>试行</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》要求，本次规 </w:t>
            </w:r>
            <w:r>
              <w:rPr>
                <w:rFonts w:ascii="仿宋_GB2312" w:hAnsi="仿宋_GB2312" w:cs="仿宋_GB2312" w:eastAsia="仿宋_GB2312"/>
                <w:sz w:val="22"/>
                <w:color w:val="000000"/>
              </w:rPr>
              <w:t>划的主要内容包括：</w:t>
            </w:r>
          </w:p>
          <w:p>
            <w:pPr>
              <w:pStyle w:val="null3"/>
            </w:pPr>
            <w:r>
              <w:rPr>
                <w:rFonts w:ascii="仿宋_GB2312" w:hAnsi="仿宋_GB2312" w:cs="仿宋_GB2312" w:eastAsia="仿宋_GB2312"/>
                <w:sz w:val="22"/>
                <w:b/>
                <w:color w:val="000000"/>
              </w:rPr>
              <w:t>1</w:t>
            </w:r>
            <w:r>
              <w:rPr>
                <w:rFonts w:ascii="仿宋_GB2312" w:hAnsi="仿宋_GB2312" w:cs="仿宋_GB2312" w:eastAsia="仿宋_GB2312"/>
                <w:sz w:val="22"/>
                <w:color w:val="000000"/>
              </w:rPr>
              <w:t>、村庄定位：落实上位规划的镇村体系布局和村庄分类，通过扎实调研明确村庄</w:t>
            </w:r>
            <w:r>
              <w:rPr>
                <w:rFonts w:ascii="仿宋_GB2312" w:hAnsi="仿宋_GB2312" w:cs="仿宋_GB2312" w:eastAsia="仿宋_GB2312"/>
                <w:sz w:val="22"/>
                <w:color w:val="000000"/>
              </w:rPr>
              <w:t>现状特征和主要问题，研判村庄定位和目标。</w:t>
            </w:r>
          </w:p>
          <w:p>
            <w:pPr>
              <w:pStyle w:val="null3"/>
            </w:pPr>
            <w:r>
              <w:rPr>
                <w:rFonts w:ascii="仿宋_GB2312" w:hAnsi="仿宋_GB2312" w:cs="仿宋_GB2312" w:eastAsia="仿宋_GB2312"/>
                <w:sz w:val="22"/>
                <w:b/>
                <w:color w:val="000000"/>
              </w:rPr>
              <w:t>2</w:t>
            </w:r>
            <w:r>
              <w:rPr>
                <w:rFonts w:ascii="仿宋_GB2312" w:hAnsi="仿宋_GB2312" w:cs="仿宋_GB2312" w:eastAsia="仿宋_GB2312"/>
                <w:sz w:val="22"/>
                <w:color w:val="000000"/>
              </w:rPr>
              <w:t>、底线管控规定</w:t>
            </w:r>
            <w:r>
              <w:rPr>
                <w:rFonts w:ascii="仿宋_GB2312" w:hAnsi="仿宋_GB2312" w:cs="仿宋_GB2312" w:eastAsia="仿宋_GB2312"/>
                <w:sz w:val="22"/>
                <w:b/>
                <w:color w:val="000000"/>
              </w:rPr>
              <w:t>:</w:t>
            </w:r>
            <w:r>
              <w:rPr>
                <w:rFonts w:ascii="仿宋_GB2312" w:hAnsi="仿宋_GB2312" w:cs="仿宋_GB2312" w:eastAsia="仿宋_GB2312"/>
                <w:sz w:val="22"/>
                <w:color w:val="000000"/>
              </w:rPr>
              <w:t xml:space="preserve">传导落实国土空间总体规划明确的空间控制线，主要加强国家 </w:t>
            </w:r>
            <w:r>
              <w:rPr>
                <w:rFonts w:ascii="仿宋_GB2312" w:hAnsi="仿宋_GB2312" w:cs="仿宋_GB2312" w:eastAsia="仿宋_GB2312"/>
                <w:sz w:val="22"/>
                <w:color w:val="000000"/>
              </w:rPr>
              <w:t>明确的、对乡村地区开发保护建设影响较大的耕地好和永久基本农田保护红线、生态</w:t>
            </w:r>
            <w:r>
              <w:rPr>
                <w:rFonts w:ascii="仿宋_GB2312" w:hAnsi="仿宋_GB2312" w:cs="仿宋_GB2312" w:eastAsia="仿宋_GB2312"/>
                <w:sz w:val="22"/>
                <w:color w:val="000000"/>
              </w:rPr>
              <w:t>保护红线、村庄建设边界线和规模、历史文化保护线、灾害风险防控线等</w:t>
            </w:r>
            <w:r>
              <w:rPr>
                <w:rFonts w:ascii="仿宋_GB2312" w:hAnsi="仿宋_GB2312" w:cs="仿宋_GB2312" w:eastAsia="仿宋_GB2312"/>
                <w:sz w:val="22"/>
                <w:color w:val="000000"/>
              </w:rPr>
              <w:t>“</w:t>
            </w:r>
            <w:r>
              <w:rPr>
                <w:rFonts w:ascii="仿宋_GB2312" w:hAnsi="仿宋_GB2312" w:cs="仿宋_GB2312" w:eastAsia="仿宋_GB2312"/>
                <w:sz w:val="22"/>
                <w:color w:val="000000"/>
              </w:rPr>
              <w:t>五线管控</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p>
          <w:p>
            <w:pPr>
              <w:pStyle w:val="null3"/>
            </w:pPr>
            <w:r>
              <w:rPr>
                <w:rFonts w:ascii="仿宋_GB2312" w:hAnsi="仿宋_GB2312" w:cs="仿宋_GB2312" w:eastAsia="仿宋_GB2312"/>
                <w:sz w:val="22"/>
                <w:b/>
                <w:color w:val="000000"/>
              </w:rPr>
              <w:t>3</w:t>
            </w:r>
            <w:r>
              <w:rPr>
                <w:rFonts w:ascii="仿宋_GB2312" w:hAnsi="仿宋_GB2312" w:cs="仿宋_GB2312" w:eastAsia="仿宋_GB2312"/>
                <w:sz w:val="22"/>
                <w:color w:val="000000"/>
              </w:rPr>
              <w:t>、规划管控指引：明确乡村农民建房、农村公益设施布局、农村产业用地布局、</w:t>
            </w:r>
            <w:r>
              <w:rPr>
                <w:rFonts w:ascii="仿宋_GB2312" w:hAnsi="仿宋_GB2312" w:cs="仿宋_GB2312" w:eastAsia="仿宋_GB2312"/>
                <w:sz w:val="22"/>
                <w:color w:val="000000"/>
              </w:rPr>
              <w:t>国土综合整治和生态修复、和美乡村特色风貌等</w:t>
            </w:r>
            <w:r>
              <w:rPr>
                <w:rFonts w:ascii="仿宋_GB2312" w:hAnsi="仿宋_GB2312" w:cs="仿宋_GB2312" w:eastAsia="仿宋_GB2312"/>
                <w:sz w:val="22"/>
                <w:color w:val="000000"/>
              </w:rPr>
              <w:t>“</w:t>
            </w:r>
            <w:r>
              <w:rPr>
                <w:rFonts w:ascii="仿宋_GB2312" w:hAnsi="仿宋_GB2312" w:cs="仿宋_GB2312" w:eastAsia="仿宋_GB2312"/>
                <w:sz w:val="22"/>
                <w:color w:val="000000"/>
              </w:rPr>
              <w:t>五类</w:t>
            </w:r>
            <w:r>
              <w:rPr>
                <w:rFonts w:ascii="仿宋_GB2312" w:hAnsi="仿宋_GB2312" w:cs="仿宋_GB2312" w:eastAsia="仿宋_GB2312"/>
                <w:sz w:val="22"/>
                <w:color w:val="000000"/>
              </w:rPr>
              <w:t>”</w:t>
            </w:r>
            <w:r>
              <w:rPr>
                <w:rFonts w:ascii="仿宋_GB2312" w:hAnsi="仿宋_GB2312" w:cs="仿宋_GB2312" w:eastAsia="仿宋_GB2312"/>
                <w:sz w:val="22"/>
                <w:color w:val="000000"/>
              </w:rPr>
              <w:t>指引。</w:t>
            </w:r>
          </w:p>
          <w:p>
            <w:pPr>
              <w:pStyle w:val="null3"/>
            </w:pPr>
            <w:r>
              <w:rPr>
                <w:rFonts w:ascii="仿宋_GB2312" w:hAnsi="仿宋_GB2312" w:cs="仿宋_GB2312" w:eastAsia="仿宋_GB2312"/>
                <w:sz w:val="22"/>
                <w:b/>
                <w:color w:val="000000"/>
              </w:rPr>
              <w:t>4</w:t>
            </w:r>
            <w:r>
              <w:rPr>
                <w:rFonts w:ascii="仿宋_GB2312" w:hAnsi="仿宋_GB2312" w:cs="仿宋_GB2312" w:eastAsia="仿宋_GB2312"/>
                <w:sz w:val="22"/>
                <w:color w:val="000000"/>
              </w:rPr>
              <w:t>、两图一表：图件为村域国土空间规划图和村庄建设用地管控图，一表为建设项</w:t>
            </w:r>
            <w:r>
              <w:rPr>
                <w:rFonts w:ascii="仿宋_GB2312" w:hAnsi="仿宋_GB2312" w:cs="仿宋_GB2312" w:eastAsia="仿宋_GB2312"/>
                <w:sz w:val="22"/>
                <w:color w:val="000000"/>
              </w:rPr>
              <w:t>目表。</w:t>
            </w:r>
          </w:p>
          <w:p>
            <w:pPr>
              <w:pStyle w:val="null3"/>
            </w:pPr>
            <w:r>
              <w:rPr>
                <w:rFonts w:ascii="仿宋_GB2312" w:hAnsi="仿宋_GB2312" w:cs="仿宋_GB2312" w:eastAsia="仿宋_GB2312"/>
                <w:sz w:val="22"/>
                <w:color w:val="000000"/>
              </w:rPr>
              <w:t>5、规划数据库：应符合国土空间规划“一张图”统一标准。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现行的国家标准或国家行政部门颁布的法律法规、规章制度等，是项目验收的重要依据，采购人单位按照因家(行业)强制性标准及合同约定对中标方所供货物(产品)或服务进行检查或验收，成交方须无条件的接 受采购人的各类检查或验收;若验收不通过或质量不合格，成交方应在一定期限进行整改完善，以采购人要求的标准提供合格 的货物(产品)或服务;若成交方在接受检查整改后，仍不能提供符合采购要求的合格货物(产品)或服务，采购人有权按违约予以撤项。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初稿汇报通过后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最终评审通过后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资格证明文件格式1.docx 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资格证明文件格式1.docx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具有独立承担民事责任能力的法定代表人、其他组织或自然人，营业执照、组织机 构代码证、税务登记证（多证合一只提供营业执照，事业单位提供事业单位法定代 表人证书，自然人提供本人身份证）合法有效；</w:t>
            </w:r>
          </w:p>
        </w:tc>
        <w:tc>
          <w:tcPr>
            <w:tcW w:type="dxa" w:w="1661"/>
          </w:tcPr>
          <w:p>
            <w:pPr>
              <w:pStyle w:val="null3"/>
            </w:pPr>
            <w:r>
              <w:rPr>
                <w:rFonts w:ascii="仿宋_GB2312" w:hAnsi="仿宋_GB2312" w:cs="仿宋_GB2312" w:eastAsia="仿宋_GB2312"/>
              </w:rPr>
              <w:t>资格证明文件格式1.docx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 直接参加投标只须提供法定代表人身份证）；</w:t>
            </w:r>
          </w:p>
        </w:tc>
        <w:tc>
          <w:tcPr>
            <w:tcW w:type="dxa" w:w="1661"/>
          </w:tcPr>
          <w:p>
            <w:pPr>
              <w:pStyle w:val="null3"/>
            </w:pPr>
            <w:r>
              <w:rPr>
                <w:rFonts w:ascii="仿宋_GB2312" w:hAnsi="仿宋_GB2312" w:cs="仿宋_GB2312" w:eastAsia="仿宋_GB2312"/>
              </w:rPr>
              <w:t>资格证明文件格式1.docx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响应《汉中市政府采购供应商资格承诺函》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具有国家相关主管部门颁发的城乡规划（国土空间规划）编制资质证书乙级及以上资质（或城乡规划编制乙级及以上资质证书），且项目负责人须具有规划专业中级及以上技术职称。</w:t>
            </w:r>
          </w:p>
        </w:tc>
        <w:tc>
          <w:tcPr>
            <w:tcW w:type="dxa" w:w="1661"/>
          </w:tcPr>
          <w:p>
            <w:pPr>
              <w:pStyle w:val="null3"/>
            </w:pPr>
            <w:r>
              <w:rPr>
                <w:rFonts w:ascii="仿宋_GB2312" w:hAnsi="仿宋_GB2312" w:cs="仿宋_GB2312" w:eastAsia="仿宋_GB2312"/>
              </w:rPr>
              <w:t>资格证明文件格式1.docx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资格证明文件格式1.docx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资格证明文件格式1.docx 服务内容及服务邀请应答表 中小企业声明函 商务应答表 供应商应提交的相关资格证明材料 报价表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 求或技术要求出现实质性偏差；2.要求全面响应 磋商文件，不能有任何采购人不能接受的附加 条件；3.规定不接受选择方案和选择报价（包括 交叉折扣）的，供应商提供了选择方案/或选择 报价（包括交叉折扣）；4.提供虚假证明，开具 虚假资质，出现虚假应答</w:t>
            </w:r>
          </w:p>
        </w:tc>
        <w:tc>
          <w:tcPr>
            <w:tcW w:type="dxa" w:w="1661"/>
          </w:tcPr>
          <w:p>
            <w:pPr>
              <w:pStyle w:val="null3"/>
            </w:pPr>
            <w:r>
              <w:rPr>
                <w:rFonts w:ascii="仿宋_GB2312" w:hAnsi="仿宋_GB2312" w:cs="仿宋_GB2312" w:eastAsia="仿宋_GB2312"/>
              </w:rPr>
              <w:t>资格证明文件格式1.docx 服务内容及服务邀请应答表 中小企业声明函 商务应答表 供应商应提交的相关资格证明材料 报价表 汉中市政府采购供应商资格承诺函.docx 响应文件封面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2020年1月1日以来承担过乡村规划编制项目的，每一项得1分，此项可累计最多得5分， 未提供不得分。（注：以供应商加盖公章的施工合同或中标通知书复印件为准。）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 员 配 置</w:t>
            </w:r>
          </w:p>
        </w:tc>
        <w:tc>
          <w:tcPr>
            <w:tcW w:type="dxa" w:w="2492"/>
          </w:tcPr>
          <w:p>
            <w:pPr>
              <w:pStyle w:val="null3"/>
            </w:pPr>
            <w:r>
              <w:rPr>
                <w:rFonts w:ascii="仿宋_GB2312" w:hAnsi="仿宋_GB2312" w:cs="仿宋_GB2312" w:eastAsia="仿宋_GB2312"/>
              </w:rPr>
              <w:t>除项目负责人外的其他技术人员，每拟派1名中级以上工程师（含中级）及注册城乡规划师的得2 分，最高得6分。 注：供应商须在响应文件中附相关证书。</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规 划 编 制 目 标</w:t>
            </w:r>
          </w:p>
        </w:tc>
        <w:tc>
          <w:tcPr>
            <w:tcW w:type="dxa" w:w="2492"/>
          </w:tcPr>
          <w:p>
            <w:pPr>
              <w:pStyle w:val="null3"/>
            </w:pPr>
            <w:r>
              <w:rPr>
                <w:rFonts w:ascii="仿宋_GB2312" w:hAnsi="仿宋_GB2312" w:cs="仿宋_GB2312" w:eastAsia="仿宋_GB2312"/>
              </w:rPr>
              <w:t>针对本项目提出适用于本项目的规划编制目标，方案包括但不限于①规划背景；②总体目标；③成果质量目标。 ①规划背景：（1）方案详细具体科学合理且具有针对性、可行性得5分；（2）方案明确具有一定的针对性、可行性得3分；（3）方案合理性不足，无针对性、可行性，内容空洞，可行性不强得2分。 ②总体目标：（1）方案详细具体科学合理且具有针对性、可行性得5分；（2）方案明确具有一定的针对性、可行性得3分；（3）方案合理性不足，无针对性、可行性，内容空洞，可行性不强得2分。 ③成果质量目标：（1）方案详细具体科学合理且具有针对性、可行性得5分；（2）方案明确具有一定的针对性、可行性得3分；（3）方案合理性不足，无针对性、可行性，内容空洞，可行性不强得2分。 注：不提供得 0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规 划 方 案</w:t>
            </w:r>
          </w:p>
        </w:tc>
        <w:tc>
          <w:tcPr>
            <w:tcW w:type="dxa" w:w="2492"/>
          </w:tcPr>
          <w:p>
            <w:pPr>
              <w:pStyle w:val="null3"/>
            </w:pPr>
            <w:r>
              <w:rPr>
                <w:rFonts w:ascii="仿宋_GB2312" w:hAnsi="仿宋_GB2312" w:cs="仿宋_GB2312" w:eastAsia="仿宋_GB2312"/>
              </w:rPr>
              <w:t>深刻理解、全面把握采购人需求，并结合项目的实际情况，能够针对性提出具体可行的① 服务方案总体思路②各专项思路③工作计划及流程④技术路线及技术方法等综合评价。 以 上方案内容全面、针对性强、符合本项目特点的得满分 16 分，以上每缺少一项内容或内 容非针对于本项目扣 4 分；每小项有一处缺陷扣 1 分，扣完为止，不提供不得分。（缺 陷是指：存在不适用项目实际情况的情形、凭空编造、内容前后不一致、前后逻辑错误、 针对性不强、只有简单描述没有实质性内容 、涉及的规范及标准错误、地点区域错误、 内容缺失、不符合采购需求等）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规 划 工 作 重 点 、 难 点 分 析 及 对 策</w:t>
            </w:r>
          </w:p>
        </w:tc>
        <w:tc>
          <w:tcPr>
            <w:tcW w:type="dxa" w:w="2492"/>
          </w:tcPr>
          <w:p>
            <w:pPr>
              <w:pStyle w:val="null3"/>
            </w:pPr>
            <w:r>
              <w:rPr>
                <w:rFonts w:ascii="仿宋_GB2312" w:hAnsi="仿宋_GB2312" w:cs="仿宋_GB2312" w:eastAsia="仿宋_GB2312"/>
              </w:rPr>
              <w:t>针对本项目提出适用于本项目的规划工作重点、难点分析及对策，方案包括但不限于①针 对本项目的重点、难点分析；②针对本项目的重点、难点的对策。 ①针对本项目的重点、 难点分析：（1）方案详细具体科学合理且具有针对性、可行性得8分；（2）方案明确具 有一定的针对性、可行性得5分；（3）方案合理性不足，无针对性、可行性，内容空洞 ，可行性不强得2分。 ②针对本项目的重点、难点的对策：（1）方案详细具体科学合理 且具有针对性、可行性得8分；（2）方案明确具有一定的针对性、可行性得5分；（3） 方案合理性不足，无针对性、可行性，内容空洞，可行性不强得2分。 注：不提供得0分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 量 控 制 的 程 序 、 措 施 和 质 量 保 证 体 系</w:t>
            </w:r>
          </w:p>
        </w:tc>
        <w:tc>
          <w:tcPr>
            <w:tcW w:type="dxa" w:w="2492"/>
          </w:tcPr>
          <w:p>
            <w:pPr>
              <w:pStyle w:val="null3"/>
            </w:pPr>
            <w:r>
              <w:rPr>
                <w:rFonts w:ascii="仿宋_GB2312" w:hAnsi="仿宋_GB2312" w:cs="仿宋_GB2312" w:eastAsia="仿宋_GB2312"/>
              </w:rPr>
              <w:t>根据供应商对本项目①质量控制的程序②质量控制措施③质量保证体系等综合评价。 以上 方案内容全面、针对性强、符合本项目特点的得满分9 分，以上每缺少一项内容或内容 非针对于本项目扣 3 分；每小项有一处缺陷扣 1 分，扣完为止，不提供不得分。（缺陷 是指：存在不适用项目实际情况的情形、凭空编造、内容前后不一致、前后逻辑错误、针 对性不强、只有简单描述没有实质性内容 、涉及的规范及标准错误、地点区域错误、内 容缺失、不符合采购需求等）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规 划 工 作 进 度 计 划 安 排 及 保 障 措 施</w:t>
            </w:r>
          </w:p>
        </w:tc>
        <w:tc>
          <w:tcPr>
            <w:tcW w:type="dxa" w:w="2492"/>
          </w:tcPr>
          <w:p>
            <w:pPr>
              <w:pStyle w:val="null3"/>
            </w:pPr>
            <w:r>
              <w:rPr>
                <w:rFonts w:ascii="仿宋_GB2312" w:hAnsi="仿宋_GB2312" w:cs="仿宋_GB2312" w:eastAsia="仿宋_GB2312"/>
              </w:rPr>
              <w:t>针对本项目提出适用于本项目的规划工作进度计划安排及保障措施，方案包括但不限于① 规划工作进度计划安排；②规划工作进度计划保障措施。 ①规划工作进度计划安排：（1 ）方案详细具体科学合理且具有针对性、可行性得5分；（2）方案明确具有一定的针对 性、可行性得2分；（3）方案合理性不足，无针对性、可行性，内容空洞，可行性不强 得1分。 ②规划工作进度计划保障措施：（1）方案详细具体科学合理且具有针对性、可 行性得5分；（2）方案明确具有一定的针对性、可行性得2分；（3）方案合理性不足， 无针对性、可行性，内容空洞，可行性不强得1分。 注：不提供得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 务 承 诺</w:t>
            </w:r>
          </w:p>
        </w:tc>
        <w:tc>
          <w:tcPr>
            <w:tcW w:type="dxa" w:w="2492"/>
          </w:tcPr>
          <w:p>
            <w:pPr>
              <w:pStyle w:val="null3"/>
            </w:pPr>
            <w:r>
              <w:rPr>
                <w:rFonts w:ascii="仿宋_GB2312" w:hAnsi="仿宋_GB2312" w:cs="仿宋_GB2312" w:eastAsia="仿宋_GB2312"/>
              </w:rPr>
              <w:t>针对本项目提出适用于本项目的服务承诺，承诺包括但不限于①服务质量承诺；②服务周 期承诺； ①服务质量承诺：（1）方案详细具体科学合理且具有针对性、可行性得5分； （2）方案明确具有一定的针对性、可行性得3分；（3）方案合理性不足，无针对性、可 行性，内容空洞，可行性不强得1分。 ②服务周期承诺：（1）方案详细具体科学合理且 具有针对性、可行性得5分；（2）方案明确具有一定的针对性、可行性得3分；（3）方 案合理性不足，无针对性、可行性，内容空洞，可行性不强得1分。注：不提供得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企 业 证 书</w:t>
            </w:r>
          </w:p>
        </w:tc>
        <w:tc>
          <w:tcPr>
            <w:tcW w:type="dxa" w:w="2492"/>
          </w:tcPr>
          <w:p>
            <w:pPr>
              <w:pStyle w:val="null3"/>
            </w:pPr>
            <w:r>
              <w:rPr>
                <w:rFonts w:ascii="仿宋_GB2312" w:hAnsi="仿宋_GB2312" w:cs="仿宋_GB2312" w:eastAsia="仿宋_GB2312"/>
              </w:rPr>
              <w:t>供应具有相关ISO认证证书（质量管理体系认证、环境管理体系认证、职业健康安全管理 体系认证）每个得1分；最高得分3分。注：以提供证书复印件并加盖供应商公章为准，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 磋商基准价，其价格分为满分10分。其他供应商的价格分统一按照下列公式计算：报价 得分=(磋商基准价／磋商报价)×10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详见附件：资格证明文件格式1.docx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