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CC8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eastAsia="宋体"/>
          <w:color w:val="1F2329"/>
          <w:sz w:val="32"/>
          <w:szCs w:val="32"/>
          <w:lang w:val="en-US" w:eastAsia="zh-CN"/>
        </w:rPr>
      </w:pPr>
      <w:r>
        <w:rPr>
          <w:rFonts w:hint="eastAsia"/>
          <w:color w:val="1F2329"/>
          <w:sz w:val="32"/>
          <w:szCs w:val="32"/>
          <w:lang w:val="en-US" w:eastAsia="zh-CN"/>
        </w:rPr>
        <w:t xml:space="preserve">  </w:t>
      </w:r>
      <w:r>
        <w:rPr>
          <w:color w:val="1F2329"/>
          <w:sz w:val="32"/>
          <w:szCs w:val="32"/>
        </w:rPr>
        <w:t>合同协议书</w:t>
      </w:r>
      <w:r>
        <w:rPr>
          <w:rFonts w:hint="eastAsia"/>
          <w:color w:val="1F2329"/>
          <w:sz w:val="32"/>
          <w:szCs w:val="32"/>
          <w:lang w:val="en-US" w:eastAsia="zh-CN"/>
        </w:rPr>
        <w:t>格式</w:t>
      </w:r>
    </w:p>
    <w:p w14:paraId="7FB75F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1F2329"/>
          <w:sz w:val="24"/>
          <w:szCs w:val="24"/>
        </w:rPr>
      </w:pPr>
      <w:r>
        <w:rPr>
          <w:rFonts w:ascii="宋体" w:hAnsi="宋体" w:eastAsia="宋体" w:cs="宋体"/>
          <w:color w:val="1F2329"/>
          <w:kern w:val="0"/>
          <w:sz w:val="24"/>
          <w:szCs w:val="24"/>
          <w:lang w:val="en-US" w:eastAsia="zh-CN" w:bidi="ar"/>
        </w:rPr>
        <w:t>（本格式编排在招标文件中，供投标人参考，投标时不需填写）</w:t>
      </w:r>
    </w:p>
    <w:p w14:paraId="4C4548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b/>
          <w:bCs/>
          <w:color w:val="1F2329"/>
          <w:sz w:val="28"/>
          <w:szCs w:val="28"/>
        </w:rPr>
      </w:pPr>
      <w:r>
        <w:rPr>
          <w:rFonts w:hint="eastAsia" w:ascii="宋体" w:hAnsi="宋体" w:eastAsia="宋体" w:cs="宋体"/>
          <w:b/>
          <w:bCs/>
          <w:color w:val="1F2329"/>
          <w:kern w:val="0"/>
          <w:sz w:val="28"/>
          <w:szCs w:val="28"/>
          <w:u w:val="single"/>
          <w:lang w:val="en-US" w:eastAsia="zh-CN" w:bidi="ar"/>
        </w:rPr>
        <w:t xml:space="preserve">                                 </w:t>
      </w:r>
      <w:r>
        <w:rPr>
          <w:rFonts w:hint="eastAsia" w:ascii="宋体" w:hAnsi="宋体" w:eastAsia="宋体" w:cs="宋体"/>
          <w:b/>
          <w:bCs/>
          <w:color w:val="1F2329"/>
          <w:kern w:val="0"/>
          <w:sz w:val="28"/>
          <w:szCs w:val="28"/>
          <w:u w:val="none"/>
          <w:lang w:val="en-US" w:eastAsia="zh-CN" w:bidi="ar"/>
        </w:rPr>
        <w:t>项目</w:t>
      </w:r>
      <w:r>
        <w:rPr>
          <w:rFonts w:ascii="宋体" w:hAnsi="宋体" w:eastAsia="宋体" w:cs="宋体"/>
          <w:b/>
          <w:bCs/>
          <w:color w:val="1F2329"/>
          <w:kern w:val="0"/>
          <w:sz w:val="28"/>
          <w:szCs w:val="28"/>
          <w:lang w:val="en-US" w:eastAsia="zh-CN" w:bidi="ar"/>
        </w:rPr>
        <w:t>合同协议书</w:t>
      </w:r>
    </w:p>
    <w:p w14:paraId="5365BF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甲方：</w:t>
      </w:r>
    </w:p>
    <w:p w14:paraId="257EDD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Fonts w:ascii="宋体" w:hAnsi="宋体" w:eastAsia="宋体" w:cs="宋体"/>
          <w:color w:val="1F2329"/>
          <w:kern w:val="0"/>
          <w:sz w:val="24"/>
          <w:szCs w:val="24"/>
          <w:lang w:val="en-US" w:eastAsia="zh-CN" w:bidi="ar"/>
        </w:rPr>
        <w:t>乙方：</w:t>
      </w:r>
    </w:p>
    <w:p w14:paraId="3EE86C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一、合同标的</w:t>
      </w:r>
    </w:p>
    <w:p w14:paraId="74A96BB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200"/>
        <w:jc w:val="left"/>
        <w:rPr>
          <w:color w:val="1F2329"/>
          <w:sz w:val="24"/>
          <w:szCs w:val="24"/>
        </w:rPr>
      </w:pPr>
      <w:r>
        <w:rPr>
          <w:rFonts w:asciiTheme="minorHAnsi" w:hAnsiTheme="minorHAnsi" w:eastAsiaTheme="minorEastAsia" w:cstheme="minorBidi"/>
          <w:color w:val="1F2329"/>
          <w:kern w:val="2"/>
          <w:sz w:val="24"/>
          <w:szCs w:val="24"/>
          <w:lang w:val="en-US" w:eastAsia="zh-CN" w:bidi="ar-SA"/>
        </w:rPr>
        <w:t>1</w:t>
      </w:r>
      <w:r>
        <w:rPr>
          <w:rFonts w:hint="eastAsia" w:cstheme="minorBidi"/>
          <w:color w:val="1F2329"/>
          <w:kern w:val="2"/>
          <w:sz w:val="24"/>
          <w:szCs w:val="24"/>
          <w:lang w:val="en-US" w:eastAsia="zh-CN" w:bidi="ar-SA"/>
        </w:rPr>
        <w:t>、</w:t>
      </w:r>
      <w:r>
        <w:rPr>
          <w:color w:val="1F2329"/>
          <w:sz w:val="24"/>
          <w:szCs w:val="24"/>
        </w:rPr>
        <w:t xml:space="preserve">养护总里程 </w:t>
      </w:r>
      <w:r>
        <w:rPr>
          <w:rFonts w:hint="eastAsia"/>
          <w:color w:val="1F2329"/>
          <w:sz w:val="24"/>
          <w:szCs w:val="24"/>
          <w:lang w:val="en-US" w:eastAsia="zh-CN"/>
        </w:rPr>
        <w:t xml:space="preserve"> </w:t>
      </w:r>
      <w:r>
        <w:rPr>
          <w:color w:val="1F2329"/>
          <w:sz w:val="24"/>
          <w:szCs w:val="24"/>
        </w:rPr>
        <w:t xml:space="preserve">公里，其中县道 </w:t>
      </w:r>
      <w:r>
        <w:rPr>
          <w:rFonts w:hint="eastAsia"/>
          <w:color w:val="1F2329"/>
          <w:sz w:val="24"/>
          <w:szCs w:val="24"/>
          <w:lang w:val="en-US" w:eastAsia="zh-CN"/>
        </w:rPr>
        <w:t xml:space="preserve"> </w:t>
      </w:r>
      <w:r>
        <w:rPr>
          <w:color w:val="1F2329"/>
          <w:sz w:val="24"/>
          <w:szCs w:val="24"/>
        </w:rPr>
        <w:t xml:space="preserve">条（段） 公里，重要乡道 </w:t>
      </w:r>
      <w:r>
        <w:rPr>
          <w:rFonts w:hint="eastAsia"/>
          <w:color w:val="1F2329"/>
          <w:sz w:val="24"/>
          <w:szCs w:val="24"/>
          <w:lang w:val="en-US" w:eastAsia="zh-CN"/>
        </w:rPr>
        <w:t xml:space="preserve"> </w:t>
      </w:r>
      <w:r>
        <w:rPr>
          <w:color w:val="1F2329"/>
          <w:sz w:val="24"/>
          <w:szCs w:val="24"/>
        </w:rPr>
        <w:t>条（段</w:t>
      </w:r>
      <w:r>
        <w:rPr>
          <w:rFonts w:hint="eastAsia"/>
          <w:color w:val="1F2329"/>
          <w:sz w:val="24"/>
          <w:szCs w:val="24"/>
          <w:lang w:eastAsia="zh-CN"/>
        </w:rPr>
        <w:t>）</w:t>
      </w:r>
      <w:r>
        <w:rPr>
          <w:color w:val="1F2329"/>
          <w:sz w:val="24"/>
          <w:szCs w:val="24"/>
        </w:rPr>
        <w:t>公里。具体线路见附表。</w:t>
      </w:r>
    </w:p>
    <w:p w14:paraId="2264982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200"/>
        <w:jc w:val="left"/>
        <w:rPr>
          <w:color w:val="1F2329"/>
          <w:sz w:val="24"/>
          <w:szCs w:val="24"/>
        </w:rPr>
      </w:pPr>
      <w:r>
        <w:rPr>
          <w:rFonts w:asciiTheme="minorHAnsi" w:hAnsiTheme="minorHAnsi" w:eastAsiaTheme="minorEastAsia" w:cstheme="minorBidi"/>
          <w:color w:val="1F2329"/>
          <w:kern w:val="2"/>
          <w:sz w:val="24"/>
          <w:szCs w:val="24"/>
          <w:lang w:val="en-US" w:eastAsia="zh-CN" w:bidi="ar-SA"/>
        </w:rPr>
        <w:t>2</w:t>
      </w:r>
      <w:r>
        <w:rPr>
          <w:rFonts w:hint="eastAsia" w:cstheme="minorBidi"/>
          <w:color w:val="1F2329"/>
          <w:kern w:val="2"/>
          <w:sz w:val="24"/>
          <w:szCs w:val="24"/>
          <w:lang w:val="en-US" w:eastAsia="zh-CN" w:bidi="ar-SA"/>
        </w:rPr>
        <w:t>、</w:t>
      </w:r>
      <w:r>
        <w:rPr>
          <w:color w:val="1F2329"/>
          <w:sz w:val="24"/>
          <w:szCs w:val="24"/>
        </w:rPr>
        <w:t>养护期限：</w:t>
      </w:r>
      <w:r>
        <w:rPr>
          <w:rFonts w:hint="eastAsia"/>
          <w:color w:val="1F2329"/>
          <w:sz w:val="24"/>
          <w:szCs w:val="24"/>
          <w:lang w:val="en-US" w:eastAsia="zh-CN"/>
        </w:rPr>
        <w:t xml:space="preserve">   </w:t>
      </w:r>
      <w:r>
        <w:rPr>
          <w:color w:val="1F2329"/>
          <w:sz w:val="24"/>
          <w:szCs w:val="24"/>
        </w:rPr>
        <w:t xml:space="preserve">年 </w:t>
      </w:r>
      <w:r>
        <w:rPr>
          <w:rFonts w:hint="eastAsia"/>
          <w:color w:val="1F2329"/>
          <w:sz w:val="24"/>
          <w:szCs w:val="24"/>
          <w:lang w:val="en-US" w:eastAsia="zh-CN"/>
        </w:rPr>
        <w:t xml:space="preserve">  </w:t>
      </w:r>
      <w:r>
        <w:rPr>
          <w:color w:val="1F2329"/>
          <w:sz w:val="24"/>
          <w:szCs w:val="24"/>
        </w:rPr>
        <w:t xml:space="preserve">月 </w:t>
      </w:r>
      <w:r>
        <w:rPr>
          <w:rFonts w:hint="eastAsia"/>
          <w:color w:val="1F2329"/>
          <w:sz w:val="24"/>
          <w:szCs w:val="24"/>
          <w:lang w:val="en-US" w:eastAsia="zh-CN"/>
        </w:rPr>
        <w:t xml:space="preserve">  </w:t>
      </w:r>
      <w:r>
        <w:rPr>
          <w:color w:val="1F2329"/>
          <w:sz w:val="24"/>
          <w:szCs w:val="24"/>
        </w:rPr>
        <w:t>日至</w:t>
      </w:r>
      <w:r>
        <w:rPr>
          <w:rFonts w:hint="eastAsia"/>
          <w:color w:val="1F2329"/>
          <w:sz w:val="24"/>
          <w:szCs w:val="24"/>
          <w:lang w:val="en-US" w:eastAsia="zh-CN"/>
        </w:rPr>
        <w:t xml:space="preserve">   </w:t>
      </w:r>
      <w:r>
        <w:rPr>
          <w:color w:val="1F2329"/>
          <w:sz w:val="24"/>
          <w:szCs w:val="24"/>
        </w:rPr>
        <w:t xml:space="preserve">年 </w:t>
      </w:r>
      <w:r>
        <w:rPr>
          <w:rFonts w:hint="eastAsia"/>
          <w:color w:val="1F2329"/>
          <w:sz w:val="24"/>
          <w:szCs w:val="24"/>
          <w:lang w:val="en-US" w:eastAsia="zh-CN"/>
        </w:rPr>
        <w:t xml:space="preserve">  </w:t>
      </w:r>
      <w:r>
        <w:rPr>
          <w:color w:val="1F2329"/>
          <w:sz w:val="24"/>
          <w:szCs w:val="24"/>
        </w:rPr>
        <w:t xml:space="preserve">月 </w:t>
      </w:r>
      <w:r>
        <w:rPr>
          <w:rFonts w:hint="eastAsia"/>
          <w:color w:val="1F2329"/>
          <w:sz w:val="24"/>
          <w:szCs w:val="24"/>
          <w:lang w:val="en-US" w:eastAsia="zh-CN"/>
        </w:rPr>
        <w:t xml:space="preserve">  </w:t>
      </w:r>
      <w:r>
        <w:rPr>
          <w:color w:val="1F2329"/>
          <w:sz w:val="24"/>
          <w:szCs w:val="24"/>
        </w:rPr>
        <w:t>日。</w:t>
      </w:r>
    </w:p>
    <w:p w14:paraId="10CB817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200"/>
        <w:jc w:val="left"/>
        <w:rPr>
          <w:color w:val="1F2329"/>
          <w:sz w:val="24"/>
          <w:szCs w:val="24"/>
        </w:rPr>
      </w:pPr>
      <w:r>
        <w:rPr>
          <w:rFonts w:asciiTheme="minorHAnsi" w:hAnsiTheme="minorHAnsi" w:eastAsiaTheme="minorEastAsia" w:cstheme="minorBidi"/>
          <w:color w:val="1F2329"/>
          <w:kern w:val="2"/>
          <w:sz w:val="24"/>
          <w:szCs w:val="24"/>
          <w:lang w:val="en-US" w:eastAsia="zh-CN" w:bidi="ar-SA"/>
        </w:rPr>
        <w:t>3</w:t>
      </w:r>
      <w:r>
        <w:rPr>
          <w:rFonts w:hint="eastAsia" w:cstheme="minorBidi"/>
          <w:color w:val="1F2329"/>
          <w:kern w:val="2"/>
          <w:sz w:val="24"/>
          <w:szCs w:val="24"/>
          <w:lang w:val="en-US" w:eastAsia="zh-CN" w:bidi="ar-SA"/>
        </w:rPr>
        <w:t>、</w:t>
      </w:r>
      <w:r>
        <w:rPr>
          <w:color w:val="1F2329"/>
          <w:sz w:val="24"/>
          <w:szCs w:val="24"/>
        </w:rPr>
        <w:t>工作内容：日常养护和小修抢险工程，具体以行业现行规定为准。</w:t>
      </w:r>
    </w:p>
    <w:p w14:paraId="698F4F7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200"/>
        <w:jc w:val="left"/>
        <w:rPr>
          <w:color w:val="1F2329"/>
          <w:sz w:val="24"/>
          <w:szCs w:val="24"/>
        </w:rPr>
      </w:pPr>
      <w:r>
        <w:rPr>
          <w:rFonts w:asciiTheme="minorHAnsi" w:hAnsiTheme="minorHAnsi" w:eastAsiaTheme="minorEastAsia" w:cstheme="minorBidi"/>
          <w:color w:val="1F2329"/>
          <w:kern w:val="2"/>
          <w:sz w:val="24"/>
          <w:szCs w:val="24"/>
          <w:lang w:val="en-US" w:eastAsia="zh-CN" w:bidi="ar-SA"/>
        </w:rPr>
        <w:t>4</w:t>
      </w:r>
      <w:r>
        <w:rPr>
          <w:rFonts w:hint="eastAsia" w:cstheme="minorBidi"/>
          <w:color w:val="1F2329"/>
          <w:kern w:val="2"/>
          <w:sz w:val="24"/>
          <w:szCs w:val="24"/>
          <w:lang w:val="en-US" w:eastAsia="zh-CN" w:bidi="ar-SA"/>
        </w:rPr>
        <w:t>、</w:t>
      </w:r>
      <w:r>
        <w:rPr>
          <w:color w:val="1F2329"/>
          <w:sz w:val="24"/>
          <w:szCs w:val="24"/>
        </w:rPr>
        <w:t>合同价款：合同价款由日常养护费和小修抢险工程费两部分组成，两项合计费用为：</w:t>
      </w:r>
      <w:r>
        <w:rPr>
          <w:rFonts w:hint="eastAsia"/>
          <w:color w:val="1F2329"/>
          <w:sz w:val="24"/>
          <w:szCs w:val="24"/>
          <w:lang w:val="en-US" w:eastAsia="zh-CN"/>
        </w:rPr>
        <w:t xml:space="preserve"> </w:t>
      </w:r>
      <w:r>
        <w:rPr>
          <w:color w:val="1F2329"/>
          <w:sz w:val="24"/>
          <w:szCs w:val="24"/>
        </w:rPr>
        <w:t xml:space="preserve"> 元，具体内容见附表。</w:t>
      </w:r>
    </w:p>
    <w:p w14:paraId="48A0BF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（1）日常养护费：日常养护费为</w:t>
      </w:r>
      <w:r>
        <w:rPr>
          <w:rFonts w:ascii="宋体" w:hAnsi="宋体" w:eastAsia="宋体" w:cs="宋体"/>
          <w:color w:val="1F2329"/>
          <w:kern w:val="0"/>
          <w:sz w:val="24"/>
          <w:szCs w:val="24"/>
          <w:u w:val="single"/>
          <w:lang w:val="en-US" w:eastAsia="zh-CN" w:bidi="ar"/>
        </w:rPr>
        <w:t xml:space="preserve"> </w:t>
      </w:r>
      <w:r>
        <w:rPr>
          <w:rFonts w:hint="eastAsia" w:ascii="宋体" w:hAnsi="宋体" w:eastAsia="宋体" w:cs="宋体"/>
          <w:color w:val="1F2329"/>
          <w:kern w:val="0"/>
          <w:sz w:val="24"/>
          <w:szCs w:val="24"/>
          <w:u w:val="single"/>
          <w:lang w:val="en-US" w:eastAsia="zh-CN" w:bidi="ar"/>
        </w:rPr>
        <w:t xml:space="preserve">     </w:t>
      </w:r>
      <w:r>
        <w:rPr>
          <w:rFonts w:ascii="宋体" w:hAnsi="宋体" w:eastAsia="宋体" w:cs="宋体"/>
          <w:color w:val="1F2329"/>
          <w:kern w:val="0"/>
          <w:sz w:val="24"/>
          <w:szCs w:val="24"/>
          <w:lang w:val="en-US" w:eastAsia="zh-CN" w:bidi="ar"/>
        </w:rPr>
        <w:t>元。该费用为乙方完成承包范围内公路日常养护工作，线路考核分值在85分以上（含85分）时甲方支付的费用。如乙方经考核线路分值不足85分时，</w:t>
      </w:r>
      <w:r>
        <w:rPr>
          <w:rFonts w:hint="eastAsia" w:ascii="宋体" w:hAnsi="宋体" w:eastAsia="宋体" w:cs="宋体"/>
          <w:color w:val="1F2329"/>
          <w:kern w:val="0"/>
          <w:sz w:val="24"/>
          <w:szCs w:val="24"/>
          <w:lang w:val="en-US" w:eastAsia="zh-CN" w:bidi="ar"/>
        </w:rPr>
        <w:t>甲方按照考核扣分规则折算支付对应养护费用</w:t>
      </w:r>
      <w:r>
        <w:rPr>
          <w:rFonts w:ascii="宋体" w:hAnsi="宋体" w:eastAsia="宋体" w:cs="宋体"/>
          <w:color w:val="1F2329"/>
          <w:kern w:val="0"/>
          <w:sz w:val="24"/>
          <w:szCs w:val="24"/>
          <w:lang w:val="en-US" w:eastAsia="zh-CN" w:bidi="ar"/>
        </w:rPr>
        <w:t>。</w:t>
      </w:r>
    </w:p>
    <w:p w14:paraId="0C4FC9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（2）小修抢险工程费：小修抢险工程费为</w:t>
      </w:r>
      <w:r>
        <w:rPr>
          <w:rFonts w:ascii="宋体" w:hAnsi="宋体" w:eastAsia="宋体" w:cs="宋体"/>
          <w:color w:val="1F2329"/>
          <w:kern w:val="0"/>
          <w:sz w:val="24"/>
          <w:szCs w:val="24"/>
          <w:u w:val="single"/>
          <w:lang w:val="en-US" w:eastAsia="zh-CN" w:bidi="ar"/>
        </w:rPr>
        <w:t xml:space="preserve"> </w:t>
      </w:r>
      <w:r>
        <w:rPr>
          <w:rFonts w:hint="eastAsia" w:ascii="宋体" w:hAnsi="宋体" w:eastAsia="宋体" w:cs="宋体"/>
          <w:color w:val="1F2329"/>
          <w:kern w:val="0"/>
          <w:sz w:val="24"/>
          <w:szCs w:val="24"/>
          <w:u w:val="single"/>
          <w:lang w:val="en-US" w:eastAsia="zh-CN" w:bidi="ar"/>
        </w:rPr>
        <w:t xml:space="preserve">     </w:t>
      </w:r>
      <w:r>
        <w:rPr>
          <w:rFonts w:ascii="宋体" w:hAnsi="宋体" w:eastAsia="宋体" w:cs="宋体"/>
          <w:color w:val="1F2329"/>
          <w:kern w:val="0"/>
          <w:sz w:val="24"/>
          <w:szCs w:val="24"/>
          <w:lang w:val="en-US" w:eastAsia="zh-CN" w:bidi="ar"/>
        </w:rPr>
        <w:t>元。工程量清单中所列小修抢险工程由甲方根据实际情况进行安排，施工完毕经甲方验收合格后，据实计量。</w:t>
      </w:r>
    </w:p>
    <w:p w14:paraId="215E98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是否将乙方承包养护线路内的小修抢险工程交给乙方施工，由甲方根据小修</w:t>
      </w:r>
      <w:bookmarkStart w:id="0" w:name="_GoBack"/>
      <w:bookmarkEnd w:id="0"/>
      <w:r>
        <w:rPr>
          <w:rFonts w:ascii="宋体" w:hAnsi="宋体" w:eastAsia="宋体" w:cs="宋体"/>
          <w:color w:val="1F2329"/>
          <w:kern w:val="0"/>
          <w:sz w:val="24"/>
          <w:szCs w:val="24"/>
          <w:lang w:val="en-US" w:eastAsia="zh-CN" w:bidi="ar"/>
        </w:rPr>
        <w:t>抢险工程类别、乙方能力等综合决定。甲方如不将乙方承包养护线路内的小修抢险工程交给乙方施工，甲方无就此向乙方解释或说明的义务。</w:t>
      </w:r>
    </w:p>
    <w:p w14:paraId="3A6627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二、日常保养工作内容及质量要求</w:t>
      </w:r>
    </w:p>
    <w:p w14:paraId="3BCE60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乙方应严格按照甲方制定的作业频率和行业相关规定对承包路线进行养护，使养护质量符合要求。</w:t>
      </w:r>
    </w:p>
    <w:p w14:paraId="0A57A4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（一）路基养护</w:t>
      </w:r>
    </w:p>
    <w:p w14:paraId="1B474F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日常保养工作内容：整理路肩、边坡，铲除路肩草，绿化带（灌草）、行道树修剪，清除堆积物、种植物、杂物，保持路容整洁；疏通边沟，清除杂草，保持排水系统畅通；清除挡土墙、边坡、护栏滋生的杂草，修理伸缩缝、泄水孔及松动石块。</w:t>
      </w:r>
    </w:p>
    <w:p w14:paraId="3598A5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养护质量要求：路基各部分要经常处于完好状态；路肩平整无车辙、坑洼、隆起、沉陷、缺口，横坡适度，表面平整坚实、整洁，与路面接茬平顺；边坡稳定、坚固，平顺无冲沟、松散，坡度符合规定；边沟、排水沟、截水沟、跌水井等排水设施，保持畅通无杂物、杂草，进出口维护完好，保证路基、路面及边沟内不积水；挡土墙、护坡等设施保持完好无损坏，泄水孔无堵塞，做好翻浆、塌方等病害的预防、抢修工作，尽力缩短阻车时间。</w:t>
      </w:r>
    </w:p>
    <w:p w14:paraId="3F1F59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（二）路面养护</w:t>
      </w:r>
    </w:p>
    <w:p w14:paraId="546C35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日常保养工作内容：清除路面泥土、杂物等，保持路面整洁，排除路面积水、积雪、积冰、积砂，铺防滑材料、维持交通。</w:t>
      </w:r>
    </w:p>
    <w:p w14:paraId="483125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养护质量要求：路面无杂物、泥土、零星塌方、孤石，保持路面整洁；坑洼、深陷、接茬处错台应及时填补，严重处设警示标志。</w:t>
      </w:r>
    </w:p>
    <w:p w14:paraId="1195F5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（三）桥涵养护</w:t>
      </w:r>
    </w:p>
    <w:p w14:paraId="579363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日常保养工作内容：桥梁部分，四类桥每三个月，一类、二类、三类桥每半年上报一次《桥梁观测、调查一览表》；维护锥坡、桩基（桥台）、桥面系的完整性，疏通泄水孔；清除污泥、积雪、杂物，保持桥面干净。涵洞部分，清理进、出口杂物，使洞口建筑外露；洞身、沉泥池（坑）内的淤积（抛洒、堆积）清除干净。</w:t>
      </w:r>
    </w:p>
    <w:p w14:paraId="619CEF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养护质量要求：人行道栏杆完整清洁、无松动；桥头平顺、无跳车；桥头锥坡、涵洞翼墙砌体空洞、勾缝无脱落、构造物完好，功能正常；涵洞内无淤积、排水畅通、洞体无渗漏、开裂等病害。</w:t>
      </w:r>
    </w:p>
    <w:p w14:paraId="2CA46D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（四）沿线设施、交通工程、绿化</w:t>
      </w:r>
    </w:p>
    <w:p w14:paraId="64F34A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日常保养工作内容：标志牌、里程碑、百米桩、界牌、警示桩等维护，行道树、绿化树木，要定期修剪、防虫、常态化管护。</w:t>
      </w:r>
    </w:p>
    <w:p w14:paraId="66311A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养护质量要求：做到标志干净、清晰醒目，牌、桩（碑）体直立无倾斜，行道树要树干干净、树冠漂亮有型，不影响行车安全，无丢失和破坏。</w:t>
      </w:r>
    </w:p>
    <w:p w14:paraId="65667B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三、养护考核办法</w:t>
      </w:r>
    </w:p>
    <w:p w14:paraId="1752FF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养护考核每月一次，由甲方按照城固县农村干线公路养护考核暂行办法进行全面考核，乙方配合。甲方对乙方每月养护质量考核的结果初步意见形成后及时反馈乙方，乙方可就考核结果提出异议。但甲方不保证采纳乙方意见，同时甲方有权作出更不利于乙方的最终考核结果。</w:t>
      </w:r>
    </w:p>
    <w:p w14:paraId="3FCF31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四、合同价款的支付</w:t>
      </w:r>
    </w:p>
    <w:p w14:paraId="6D2C78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日常养护费：甲方每月对乙方当月养护质量逐线路按百分制进行考核，按线路考核得分确定该条（段）线路当月日常保养费用并按季度结算支付。考核得分在85分以上（含85分）的线路，全额兑付该线路当月养护费；低于85分的线路，甲方按每低1分扣减1.5%的比例兑付当月养护费；低于65分的线路，当月养护费为零。</w:t>
      </w:r>
    </w:p>
    <w:p w14:paraId="0DBF69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小修抢险工程费：a、临时性、突发性或必须完成的小修抢险工程，由甲方根据实际情况进行安排，验收合格后由乙方依据合同清单计价结算，清单中未包含的项目可参考养护工程或同地点同类型类似工程单价结算。乙方接到抢修任务后应立即开展抢修作业，不得以任何理由推诿、谈价、延期或拒绝，否则甲方有权进行经济处罚，并不再给乙方安排日常养护以外的任何工程。b、工程量清单中所列小修抢险工程由甲方根据实际情况进行安排，施工完毕经甲方验收合格后，依照合同单价据实计量。其中，单处数量不足 10m³ 以及同一条路段累计不足50m³的清理塌方属日常养护工作内容，其费用已包含在日常养护费内，甲方不再为此按小修抢险工程计量支付费用。</w:t>
      </w:r>
    </w:p>
    <w:p w14:paraId="44FF58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3、</w:t>
      </w:r>
      <w:r>
        <w:rPr>
          <w:rFonts w:ascii="宋体" w:hAnsi="宋体" w:eastAsia="宋体" w:cs="宋体"/>
          <w:color w:val="1F2329"/>
          <w:kern w:val="0"/>
          <w:sz w:val="24"/>
          <w:szCs w:val="24"/>
          <w:lang w:val="en-US" w:eastAsia="zh-CN" w:bidi="ar"/>
        </w:rPr>
        <w:t>经济处罚：a、合同中列养的任何线路范围内，如因堆积、抛洒、坑槽、裂缝、落石、等引起的交通事故和机械事故，由乙方处理解决并承担一切后果。b、在考核中乙方受到经济处罚的款项在每月结算时予以扣除。</w:t>
      </w:r>
    </w:p>
    <w:p w14:paraId="729562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五、路政管理</w:t>
      </w:r>
    </w:p>
    <w:p w14:paraId="2E52CF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乙方应加强对沿线群众的路政法规宣传工作。发现在公路建筑控制区内建房、栽杆架线、开设平交道口以及超限运输、抛洒污染路面等侵占、损害路产路权行为时，乙方应首先制止，并及时报告甲方，配合处理肇事。如乙方未及时上报，导致重大事故发生，给甲方或第三方造成的损失由乙方负责并承担相应的经济等责任。</w:t>
      </w:r>
    </w:p>
    <w:p w14:paraId="3B12CF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六、应急抢险</w:t>
      </w:r>
    </w:p>
    <w:p w14:paraId="499ADF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乙方要制定公路抢险应急预案，做好应急抢险物资的储备，对易发生灾害的线路，必需就近考察并签订大型机械设备紧急租用合同，应急抢险爆破作业合同等，以确保险情发生后能及时开展应急抢险工作。签订合同时应选择技术好、综合能力强的施工队伍，签订的合同报甲方备案。抢险时限：100 立方米以下塌方及小型落石，做到 3 小时内及时清理抢通；100至300立方米塌方及大型落石6 小时内处理抢通；处理300立方米以上特大塌方，以及桥涵垮塌要在24小时内抢通或抢修好临时便道。</w:t>
      </w:r>
    </w:p>
    <w:p w14:paraId="0047F1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七、安全生产</w:t>
      </w:r>
    </w:p>
    <w:p w14:paraId="0C882B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乙方应聘（雇）用身体健康的工人从事养护生产，年龄不得超过60周岁。完善劳务合同，为雇员投保人身意外伤害险和第三方责任险等保险。无论乙方是否为其员工购买保险，对乙方员工因工作或非工作原因遭到的人身财产伤害，概与甲方无关。</w:t>
      </w:r>
    </w:p>
    <w:p w14:paraId="7D2CFB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乙方必须随时巡查承包养护路段，发现养护路段的不安全隐患，及时采取有效措施加以防范，并设立明显的警示标志，确保行人和车辆的安全，并及时告知甲方。因乙方未及时发现安全隐患或发现后未及时采取措施或采取的措施没有达到警示作用而造成不安全事故的，责任和由此造成的经济损失均由乙方自行承担，甲方概不负责。</w:t>
      </w:r>
    </w:p>
    <w:p w14:paraId="2EBF0A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3、</w:t>
      </w:r>
      <w:r>
        <w:rPr>
          <w:rFonts w:ascii="宋体" w:hAnsi="宋体" w:eastAsia="宋体" w:cs="宋体"/>
          <w:color w:val="1F2329"/>
          <w:kern w:val="0"/>
          <w:sz w:val="24"/>
          <w:szCs w:val="24"/>
          <w:lang w:val="en-US" w:eastAsia="zh-CN" w:bidi="ar"/>
        </w:rPr>
        <w:t>乙方要强化安全生产意识，严格按照《安全生产规程》从事公路养护施工作业；作业过程中无论何种情况所造成的不安全责任事故，均由乙方自行妥善解决并承担一切责任，甲方概不承担责任。若乙方推诿躲避不及时处理，甲方有权代为处理，相关费用从养护承包费中扣除。</w:t>
      </w:r>
    </w:p>
    <w:p w14:paraId="63AD07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八、对乙方办公场所及管理人员要求</w:t>
      </w:r>
    </w:p>
    <w:p w14:paraId="52B647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乙方必须因养护管理需要设立固定的办公场所，办公场所应与乙方养护的某条线路相邻。乙方设立的办公场所应配备必要的办公家具、用品，满足管理需要。乙方应按甲方要求对办公场所进行布置，包括悬挂公司标志、制度图表上墙等，以备甲方及甲方上级检查。</w:t>
      </w:r>
    </w:p>
    <w:p w14:paraId="59F625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乙方应配备办公用车（小型轿车），满足日常巡查需要。</w:t>
      </w:r>
    </w:p>
    <w:p w14:paraId="75EF8A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3、</w:t>
      </w:r>
      <w:r>
        <w:rPr>
          <w:rFonts w:ascii="宋体" w:hAnsi="宋体" w:eastAsia="宋体" w:cs="宋体"/>
          <w:color w:val="1F2329"/>
          <w:kern w:val="0"/>
          <w:sz w:val="24"/>
          <w:szCs w:val="24"/>
          <w:lang w:val="en-US" w:eastAsia="zh-CN" w:bidi="ar"/>
        </w:rPr>
        <w:t>乙方的主要管理人员配备最低要求为：项目经理和专职管理人员1名，专门从事乙方承包养护公路的生产管理工作，包括每日巡查、参加甲方通知的会议、按甲方要求与甲方人员共同巡查、参加月考核等。乙方专职管理人员必须按每周5天制（具体同国家工作人员）工作，工作时间内，甲方应能在乙方因养护而设立的办公场所或乙方养护线路上见到乙方专职管理人员。节假日期间要安排人员做好道路巡查。乙方专职管理人员由乙方在合同签订后书面报甲方备案。工作日内，乙方专职管理人员如因病、事不能坚持工作的，应事先向甲方请假，经同意后方可离岗。但每月专职管理人员病假事假不能超过3天，否则，甲方有权要求乙方更换专职管理人员。甲方对乙方专职管理人员工作不满意时，可要求乙方更换专职管理人员，甚至要求乙方法定代表人履行专职管理人员职责，乙方对此不得拒绝，且不得要求甲方就此作出解释或说明。</w:t>
      </w:r>
    </w:p>
    <w:p w14:paraId="44700C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4、</w:t>
      </w:r>
      <w:r>
        <w:rPr>
          <w:rFonts w:ascii="宋体" w:hAnsi="宋体" w:eastAsia="宋体" w:cs="宋体"/>
          <w:color w:val="1F2329"/>
          <w:kern w:val="0"/>
          <w:sz w:val="24"/>
          <w:szCs w:val="24"/>
          <w:lang w:val="en-US" w:eastAsia="zh-CN" w:bidi="ar"/>
        </w:rPr>
        <w:t>道路日常保养采取扫地机+人工的作业方式，乙方必须按照投标要求的人数配备签约固定道工，并能满足高质量完成日常养护任务。如果达不到养护质量要求，甲方有权责令乙方增加工人人数，乙方应立即执行。如遇重大活动或者突发自然灾害，乙方可申请临时用工，以甲方审批为准。道工工作日原则上同国家工作人员，每日工作时间不少于8小时，每日具体工作时间段由乙方根据季节等情况确定，但乙方确定的时间段必须是针对其全体道工的。乙方确定的道工每日作业时间必须报甲方同意后方可执行。经甲方同意后的道工作业时间是甲方检查乙方人员出勤情况的依据。乙方道工因病、事请假的，乙方应另行安排同样数量人员临时替代其工作。</w:t>
      </w:r>
    </w:p>
    <w:p w14:paraId="51E6BB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5、</w:t>
      </w:r>
      <w:r>
        <w:rPr>
          <w:rFonts w:ascii="宋体" w:hAnsi="宋体" w:eastAsia="宋体" w:cs="宋体"/>
          <w:color w:val="1F2329"/>
          <w:kern w:val="0"/>
          <w:sz w:val="24"/>
          <w:szCs w:val="24"/>
          <w:lang w:val="en-US" w:eastAsia="zh-CN" w:bidi="ar"/>
        </w:rPr>
        <w:t>在节假日期间应保持道路环境整洁，否则乙方应正常从事养护工作。为此甲方通知要求乙方管理人员、道工出勤时，乙方必须服从甲方安排且甲方不因此增加费用，在此期间，甲方对乙方人员出勤要求同工作日。</w:t>
      </w:r>
    </w:p>
    <w:p w14:paraId="329367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6、</w:t>
      </w:r>
      <w:r>
        <w:rPr>
          <w:rFonts w:ascii="宋体" w:hAnsi="宋体" w:eastAsia="宋体" w:cs="宋体"/>
          <w:color w:val="1F2329"/>
          <w:kern w:val="0"/>
          <w:sz w:val="24"/>
          <w:szCs w:val="24"/>
          <w:lang w:val="en-US" w:eastAsia="zh-CN" w:bidi="ar"/>
        </w:rPr>
        <w:t>甲方如在日常检查发现乙方道工出勤人数不足，甲方按每人次300元给予乙方经济处罚，经济处罚数额在当月应付乙方养护费中扣回。乙方因工作需要或其他原因临时增加道工出勤人数不能顶抵其缺勤人数。</w:t>
      </w:r>
    </w:p>
    <w:p w14:paraId="2E6424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color w:val="1F2329"/>
          <w:sz w:val="24"/>
          <w:szCs w:val="24"/>
        </w:rPr>
      </w:pPr>
      <w:r>
        <w:rPr>
          <w:rFonts w:hint="eastAsia" w:cstheme="minorBidi"/>
          <w:color w:val="1F2329"/>
          <w:kern w:val="2"/>
          <w:sz w:val="24"/>
          <w:szCs w:val="24"/>
          <w:lang w:val="en-US" w:eastAsia="zh-CN" w:bidi="ar-SA"/>
        </w:rPr>
        <w:t xml:space="preserve">    7、</w:t>
      </w:r>
      <w:r>
        <w:rPr>
          <w:rFonts w:ascii="宋体" w:hAnsi="宋体" w:eastAsia="宋体" w:cs="宋体"/>
          <w:color w:val="1F2329"/>
          <w:kern w:val="0"/>
          <w:sz w:val="24"/>
          <w:szCs w:val="24"/>
          <w:lang w:val="en-US" w:eastAsia="zh-CN" w:bidi="ar"/>
        </w:rPr>
        <w:t>对乙方人员缺勤、旷工等情况的认定以甲方掌握情况为准。</w:t>
      </w:r>
    </w:p>
    <w:p w14:paraId="4012F2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480" w:firstLineChars="200"/>
        <w:jc w:val="left"/>
        <w:rPr>
          <w:rFonts w:hint="eastAsia" w:eastAsiaTheme="minorEastAsia"/>
          <w:color w:val="1F2329"/>
          <w:sz w:val="24"/>
          <w:szCs w:val="24"/>
          <w:lang w:val="en-US" w:eastAsia="zh-CN"/>
        </w:rPr>
      </w:pPr>
      <w:r>
        <w:rPr>
          <w:rFonts w:hint="eastAsia" w:cstheme="minorBidi"/>
          <w:color w:val="1F2329"/>
          <w:kern w:val="2"/>
          <w:sz w:val="24"/>
          <w:szCs w:val="24"/>
          <w:lang w:val="en-US" w:eastAsia="zh-CN" w:bidi="ar-SA"/>
        </w:rPr>
        <w:t>8、</w:t>
      </w:r>
      <w:r>
        <w:rPr>
          <w:rFonts w:ascii="宋体" w:hAnsi="宋体" w:eastAsia="宋体" w:cs="宋体"/>
          <w:color w:val="1F2329"/>
          <w:kern w:val="0"/>
          <w:sz w:val="24"/>
          <w:szCs w:val="24"/>
          <w:lang w:val="en-US" w:eastAsia="zh-CN" w:bidi="ar"/>
        </w:rPr>
        <w:t>乙方扫地机的作业频率、作业时间同道工。甲方如在日常检查发现乙方扫地机未按规定作业，甲方按每台次500元给予乙方经济处罚，经济处罚数额在当月应付乙方养护费中扣回。</w:t>
      </w:r>
    </w:p>
    <w:p w14:paraId="6D92F4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九、履约保证金</w:t>
      </w:r>
    </w:p>
    <w:p w14:paraId="1F0101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乙方在签订合同时向甲方交纳</w:t>
      </w:r>
      <w:r>
        <w:rPr>
          <w:rFonts w:hint="eastAsia" w:ascii="宋体" w:hAnsi="宋体" w:eastAsia="宋体" w:cs="宋体"/>
          <w:color w:val="1F2329"/>
          <w:kern w:val="0"/>
          <w:sz w:val="24"/>
          <w:szCs w:val="24"/>
          <w:lang w:val="en-US" w:eastAsia="zh-CN" w:bidi="ar"/>
        </w:rPr>
        <w:t>5%</w:t>
      </w:r>
      <w:r>
        <w:rPr>
          <w:rFonts w:ascii="宋体" w:hAnsi="宋体" w:eastAsia="宋体" w:cs="宋体"/>
          <w:color w:val="1F2329"/>
          <w:kern w:val="0"/>
          <w:sz w:val="24"/>
          <w:szCs w:val="24"/>
          <w:lang w:val="en-US" w:eastAsia="zh-CN" w:bidi="ar"/>
        </w:rPr>
        <w:t>履约保证金（不计息），在下列情况下甲方有权动用保证金：</w:t>
      </w:r>
    </w:p>
    <w:p w14:paraId="6469888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200"/>
        <w:jc w:val="left"/>
        <w:rPr>
          <w:color w:val="1F2329"/>
          <w:sz w:val="24"/>
          <w:szCs w:val="24"/>
        </w:rPr>
      </w:pPr>
      <w:r>
        <w:rPr>
          <w:rFonts w:asciiTheme="minorHAnsi" w:hAnsiTheme="minorHAnsi" w:eastAsiaTheme="minorEastAsia" w:cstheme="minorBidi"/>
          <w:color w:val="1F2329"/>
          <w:kern w:val="2"/>
          <w:sz w:val="24"/>
          <w:szCs w:val="24"/>
          <w:lang w:val="en-US" w:eastAsia="zh-CN" w:bidi="ar-SA"/>
        </w:rPr>
        <w:t>1</w:t>
      </w:r>
      <w:r>
        <w:rPr>
          <w:rFonts w:hint="eastAsia" w:cstheme="minorBidi"/>
          <w:color w:val="1F2329"/>
          <w:kern w:val="2"/>
          <w:sz w:val="24"/>
          <w:szCs w:val="24"/>
          <w:lang w:val="en-US" w:eastAsia="zh-CN" w:bidi="ar-SA"/>
        </w:rPr>
        <w:t>、</w:t>
      </w:r>
      <w:r>
        <w:rPr>
          <w:color w:val="1F2329"/>
          <w:sz w:val="24"/>
          <w:szCs w:val="24"/>
        </w:rPr>
        <w:t>乙方拖欠道工工资；</w:t>
      </w:r>
    </w:p>
    <w:p w14:paraId="64D432F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200"/>
        <w:jc w:val="left"/>
        <w:rPr>
          <w:color w:val="1F2329"/>
          <w:sz w:val="24"/>
          <w:szCs w:val="24"/>
        </w:rPr>
      </w:pPr>
      <w:r>
        <w:rPr>
          <w:rFonts w:hint="eastAsia" w:cstheme="minorBidi"/>
          <w:color w:val="1F2329"/>
          <w:kern w:val="2"/>
          <w:sz w:val="24"/>
          <w:szCs w:val="24"/>
          <w:lang w:val="en-US" w:eastAsia="zh-CN" w:bidi="ar-SA"/>
        </w:rPr>
        <w:t>2、</w:t>
      </w:r>
      <w:r>
        <w:rPr>
          <w:color w:val="1F2329"/>
          <w:sz w:val="24"/>
          <w:szCs w:val="24"/>
        </w:rPr>
        <w:t>乙方原因造成的不安全事故涉及的经济赔偿不能及时兑付；</w:t>
      </w:r>
    </w:p>
    <w:p w14:paraId="4F93A4F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480" w:firstLineChars="200"/>
        <w:jc w:val="left"/>
        <w:rPr>
          <w:color w:val="1F2329"/>
          <w:sz w:val="24"/>
          <w:szCs w:val="24"/>
        </w:rPr>
      </w:pPr>
      <w:r>
        <w:rPr>
          <w:rFonts w:hint="eastAsia"/>
          <w:color w:val="1F2329"/>
          <w:sz w:val="24"/>
          <w:szCs w:val="24"/>
          <w:lang w:val="en-US" w:eastAsia="zh-CN"/>
        </w:rPr>
        <w:t>3、</w:t>
      </w:r>
      <w:r>
        <w:rPr>
          <w:color w:val="1F2329"/>
          <w:sz w:val="24"/>
          <w:szCs w:val="24"/>
        </w:rPr>
        <w:t>乙方为实施本合同而拖欠第三方工程款项，如乙方不能及时解决，甲方有权从乙方的履约保证金或养护经费中予以解决。</w:t>
      </w:r>
    </w:p>
    <w:p w14:paraId="77AEB8D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1F2329"/>
          <w:sz w:val="24"/>
          <w:szCs w:val="24"/>
        </w:rPr>
      </w:pPr>
      <w:r>
        <w:rPr>
          <w:rFonts w:hint="eastAsia" w:cstheme="minorBidi"/>
          <w:color w:val="1F2329"/>
          <w:kern w:val="2"/>
          <w:sz w:val="24"/>
          <w:szCs w:val="24"/>
          <w:lang w:val="en-US" w:eastAsia="zh-CN" w:bidi="ar-SA"/>
        </w:rPr>
        <w:t>4、</w:t>
      </w:r>
      <w:r>
        <w:rPr>
          <w:color w:val="1F2329"/>
          <w:sz w:val="24"/>
          <w:szCs w:val="24"/>
        </w:rPr>
        <w:t>如果保证金因上述情况动用，乙方须及时补齐。</w:t>
      </w:r>
    </w:p>
    <w:p w14:paraId="667B6C4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480" w:firstLineChars="200"/>
        <w:jc w:val="left"/>
        <w:rPr>
          <w:color w:val="1F2329"/>
          <w:sz w:val="24"/>
          <w:szCs w:val="24"/>
        </w:rPr>
      </w:pPr>
      <w:r>
        <w:rPr>
          <w:rFonts w:hint="eastAsia"/>
          <w:color w:val="1F2329"/>
          <w:sz w:val="24"/>
          <w:szCs w:val="24"/>
          <w:lang w:val="en-US" w:eastAsia="zh-CN"/>
        </w:rPr>
        <w:t>5、</w:t>
      </w:r>
      <w:r>
        <w:rPr>
          <w:color w:val="1F2329"/>
          <w:sz w:val="24"/>
          <w:szCs w:val="24"/>
        </w:rPr>
        <w:t>合同期满后，且无任何争端、纠纷由乙方提出退回保证金申请，甲方审批后十日内退还履约保证金。</w:t>
      </w:r>
    </w:p>
    <w:p w14:paraId="0E7BE5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十、其他事项</w:t>
      </w:r>
    </w:p>
    <w:p w14:paraId="5F3253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乙方承包养护路段若遇公路改建施工需暂停养护的，甲方将书面通知乙方，同时不再支付施工路段养护费。待工程建设项目竣工验收交付使用后，重新按签订的养护承包合同执行。</w:t>
      </w:r>
    </w:p>
    <w:p w14:paraId="40D428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因工作需要，甲方或甲方上级要求乙方提供其人员信息、工资发放表等，乙方不得拒绝。但乙方提供的人员信息、工资发放表等甲方不作为确定乙方人员出勤情况的依据。</w:t>
      </w:r>
    </w:p>
    <w:p w14:paraId="475360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十一、合同的变更和终止</w:t>
      </w:r>
    </w:p>
    <w:p w14:paraId="15B1E1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ascii="宋体" w:hAnsi="宋体" w:eastAsia="宋体" w:cs="宋体"/>
          <w:color w:val="1F2329"/>
          <w:kern w:val="0"/>
          <w:sz w:val="24"/>
          <w:szCs w:val="24"/>
          <w:lang w:val="en-US" w:eastAsia="zh-CN" w:bidi="ar"/>
        </w:rPr>
        <w:t>下列任一条件成就时，甲方有权变更或解除合同：</w:t>
      </w:r>
    </w:p>
    <w:p w14:paraId="0C2860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乙方要严格执行养护质量标准。甲方进行养护质量考核时，线路养护考核得分不足65分的，甲方有权调整减少乙方养护里程，交由另一家养护公司进行养护（可不限于上述线路）；合同期限内累计达到三条线路考核得分不足 65 分的，甲方有权解除与乙方的合同。</w:t>
      </w:r>
    </w:p>
    <w:p w14:paraId="499E56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合同期内，在甲方上级组织的检查中，乙方所养护的干线公路养护质量考核出现一次在全市县区排名后 3 名者。</w:t>
      </w:r>
    </w:p>
    <w:p w14:paraId="23404B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3、</w:t>
      </w:r>
      <w:r>
        <w:rPr>
          <w:rFonts w:ascii="宋体" w:hAnsi="宋体" w:eastAsia="宋体" w:cs="宋体"/>
          <w:color w:val="1F2329"/>
          <w:kern w:val="0"/>
          <w:sz w:val="24"/>
          <w:szCs w:val="24"/>
          <w:lang w:val="en-US" w:eastAsia="zh-CN" w:bidi="ar"/>
        </w:rPr>
        <w:t>乙方法定代表人不按合同约定参加甲方或甲方上级组织的检查。</w:t>
      </w:r>
    </w:p>
    <w:p w14:paraId="262485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4、</w:t>
      </w:r>
      <w:r>
        <w:rPr>
          <w:rFonts w:ascii="宋体" w:hAnsi="宋体" w:eastAsia="宋体" w:cs="宋体"/>
          <w:color w:val="1F2329"/>
          <w:kern w:val="0"/>
          <w:sz w:val="24"/>
          <w:szCs w:val="24"/>
          <w:lang w:val="en-US" w:eastAsia="zh-CN" w:bidi="ar"/>
        </w:rPr>
        <w:t>一月内，乙方道工出勤人次不足，累计达到 15 人次以上。</w:t>
      </w:r>
    </w:p>
    <w:p w14:paraId="23ED37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5、</w:t>
      </w:r>
      <w:r>
        <w:rPr>
          <w:rFonts w:ascii="宋体" w:hAnsi="宋体" w:eastAsia="宋体" w:cs="宋体"/>
          <w:color w:val="1F2329"/>
          <w:kern w:val="0"/>
          <w:sz w:val="24"/>
          <w:szCs w:val="24"/>
          <w:lang w:val="en-US" w:eastAsia="zh-CN" w:bidi="ar"/>
        </w:rPr>
        <w:t>合同期三个月内乙方道工出勤人次不足，累计达到50人次以上。</w:t>
      </w:r>
    </w:p>
    <w:p w14:paraId="237A58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2" w:firstLineChars="200"/>
        <w:jc w:val="left"/>
        <w:rPr>
          <w:color w:val="1F2329"/>
          <w:sz w:val="24"/>
          <w:szCs w:val="24"/>
        </w:rPr>
      </w:pPr>
      <w:r>
        <w:rPr>
          <w:color w:val="1F2329"/>
          <w:sz w:val="24"/>
          <w:szCs w:val="24"/>
        </w:rPr>
        <w:t>十二、附则</w:t>
      </w:r>
    </w:p>
    <w:p w14:paraId="1EFAE1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1F2329"/>
          <w:sz w:val="24"/>
          <w:szCs w:val="24"/>
        </w:rPr>
      </w:pPr>
      <w:r>
        <w:rPr>
          <w:rFonts w:hint="eastAsia" w:ascii="宋体" w:hAnsi="宋体" w:eastAsia="宋体" w:cs="宋体"/>
          <w:color w:val="1F2329"/>
          <w:kern w:val="0"/>
          <w:sz w:val="24"/>
          <w:szCs w:val="24"/>
          <w:lang w:val="en-US" w:eastAsia="zh-CN" w:bidi="ar"/>
        </w:rPr>
        <w:t>1、</w:t>
      </w:r>
      <w:r>
        <w:rPr>
          <w:rFonts w:ascii="宋体" w:hAnsi="宋体" w:eastAsia="宋体" w:cs="宋体"/>
          <w:color w:val="1F2329"/>
          <w:kern w:val="0"/>
          <w:sz w:val="24"/>
          <w:szCs w:val="24"/>
          <w:lang w:val="en-US" w:eastAsia="zh-CN" w:bidi="ar"/>
        </w:rPr>
        <w:t>未尽事宜甲乙双方协商解决，并作书面补充协议，补充协议与本合同具有同等效力。</w:t>
      </w:r>
    </w:p>
    <w:p w14:paraId="67FAE0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ascii="宋体" w:hAnsi="宋体" w:eastAsia="宋体" w:cs="宋体"/>
          <w:color w:val="1F2329"/>
          <w:kern w:val="0"/>
          <w:sz w:val="24"/>
          <w:szCs w:val="24"/>
          <w:lang w:val="en-US" w:eastAsia="zh-CN" w:bidi="ar"/>
        </w:rPr>
      </w:pPr>
      <w:r>
        <w:rPr>
          <w:rFonts w:hint="eastAsia" w:ascii="宋体" w:hAnsi="宋体" w:eastAsia="宋体" w:cs="宋体"/>
          <w:color w:val="1F2329"/>
          <w:kern w:val="0"/>
          <w:sz w:val="24"/>
          <w:szCs w:val="24"/>
          <w:lang w:val="en-US" w:eastAsia="zh-CN" w:bidi="ar"/>
        </w:rPr>
        <w:t>2、</w:t>
      </w:r>
      <w:r>
        <w:rPr>
          <w:rFonts w:ascii="宋体" w:hAnsi="宋体" w:eastAsia="宋体" w:cs="宋体"/>
          <w:color w:val="1F2329"/>
          <w:kern w:val="0"/>
          <w:sz w:val="24"/>
          <w:szCs w:val="24"/>
          <w:lang w:val="en-US" w:eastAsia="zh-CN" w:bidi="ar"/>
        </w:rPr>
        <w:t>本合同一式四份，双方签字、盖章后生效。甲执两份，乙方执壹份，采购中心备案壹份。</w:t>
      </w:r>
    </w:p>
    <w:p w14:paraId="1C8448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ascii="宋体" w:hAnsi="宋体" w:eastAsia="宋体" w:cs="宋体"/>
          <w:color w:val="1F2329"/>
          <w:kern w:val="0"/>
          <w:sz w:val="24"/>
          <w:szCs w:val="24"/>
          <w:lang w:val="en-US" w:eastAsia="zh-CN" w:bidi="ar"/>
        </w:rPr>
      </w:pPr>
    </w:p>
    <w:p w14:paraId="555245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ascii="宋体" w:hAnsi="宋体" w:eastAsia="宋体" w:cs="宋体"/>
          <w:color w:val="1F2329"/>
          <w:kern w:val="0"/>
          <w:sz w:val="24"/>
          <w:szCs w:val="24"/>
          <w:lang w:val="en-US" w:eastAsia="zh-CN" w:bidi="ar"/>
        </w:rPr>
      </w:pPr>
    </w:p>
    <w:p w14:paraId="011B52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甲方（采购人</w:t>
      </w:r>
      <w:r>
        <w:rPr>
          <w:rFonts w:hint="eastAsia" w:ascii="宋体" w:hAnsi="宋体" w:eastAsia="宋体" w:cs="宋体"/>
          <w:color w:val="1F2329"/>
          <w:kern w:val="0"/>
          <w:sz w:val="24"/>
          <w:szCs w:val="24"/>
          <w:lang w:val="en-US" w:eastAsia="zh-CN" w:bidi="ar"/>
        </w:rPr>
        <w:t>盖章</w:t>
      </w:r>
      <w:r>
        <w:rPr>
          <w:rFonts w:ascii="宋体" w:hAnsi="宋体" w:eastAsia="宋体" w:cs="宋体"/>
          <w:color w:val="1F2329"/>
          <w:kern w:val="0"/>
          <w:sz w:val="24"/>
          <w:szCs w:val="24"/>
          <w:lang w:val="en-US" w:eastAsia="zh-CN" w:bidi="ar"/>
        </w:rPr>
        <w:t>）：</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乙方（中标供应商全称</w:t>
      </w:r>
      <w:r>
        <w:rPr>
          <w:rFonts w:hint="eastAsia" w:ascii="宋体" w:hAnsi="宋体" w:eastAsia="宋体" w:cs="宋体"/>
          <w:color w:val="1F2329"/>
          <w:kern w:val="0"/>
          <w:sz w:val="24"/>
          <w:szCs w:val="24"/>
          <w:lang w:val="en-US" w:eastAsia="zh-CN" w:bidi="ar"/>
        </w:rPr>
        <w:t>盖章</w:t>
      </w:r>
      <w:r>
        <w:rPr>
          <w:rFonts w:ascii="宋体" w:hAnsi="宋体" w:eastAsia="宋体" w:cs="宋体"/>
          <w:color w:val="1F2329"/>
          <w:kern w:val="0"/>
          <w:sz w:val="24"/>
          <w:szCs w:val="24"/>
          <w:lang w:val="en-US" w:eastAsia="zh-CN" w:bidi="ar"/>
        </w:rPr>
        <w:t>）：</w:t>
      </w:r>
    </w:p>
    <w:p w14:paraId="490992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地址：</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地址：</w:t>
      </w:r>
    </w:p>
    <w:p w14:paraId="785030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邮编：</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邮编：</w:t>
      </w:r>
    </w:p>
    <w:p w14:paraId="750251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法定代表人：</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法定代表人：</w:t>
      </w:r>
    </w:p>
    <w:p w14:paraId="7B703E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被授权代表：（签字）</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被授权代表：（签字）</w:t>
      </w:r>
    </w:p>
    <w:p w14:paraId="6ED7CA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电话：</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电话：</w:t>
      </w:r>
    </w:p>
    <w:p w14:paraId="6BCF15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1F2329"/>
          <w:kern w:val="0"/>
          <w:sz w:val="24"/>
          <w:szCs w:val="24"/>
          <w:lang w:val="en-US" w:eastAsia="zh-CN" w:bidi="ar"/>
        </w:rPr>
      </w:pPr>
      <w:r>
        <w:rPr>
          <w:rFonts w:ascii="宋体" w:hAnsi="宋体" w:eastAsia="宋体" w:cs="宋体"/>
          <w:color w:val="1F2329"/>
          <w:kern w:val="0"/>
          <w:sz w:val="24"/>
          <w:szCs w:val="24"/>
          <w:lang w:val="en-US" w:eastAsia="zh-CN" w:bidi="ar"/>
        </w:rPr>
        <w:t>传真：</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传真：</w:t>
      </w:r>
    </w:p>
    <w:p w14:paraId="29EC7F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firstLine="4800" w:firstLineChars="2000"/>
        <w:jc w:val="left"/>
        <w:rPr>
          <w:rFonts w:hint="eastAsia" w:ascii="宋体" w:hAnsi="宋体" w:eastAsia="宋体" w:cs="宋体"/>
          <w:color w:val="1F2329"/>
          <w:kern w:val="0"/>
          <w:sz w:val="24"/>
          <w:szCs w:val="24"/>
          <w:lang w:val="en-US" w:eastAsia="zh-CN" w:bidi="ar"/>
        </w:rPr>
      </w:pPr>
      <w:r>
        <w:rPr>
          <w:rFonts w:hint="eastAsia" w:ascii="宋体" w:hAnsi="宋体" w:eastAsia="宋体" w:cs="宋体"/>
          <w:color w:val="1F2329"/>
          <w:kern w:val="0"/>
          <w:sz w:val="24"/>
          <w:szCs w:val="24"/>
          <w:lang w:val="en-US" w:eastAsia="zh-CN" w:bidi="ar"/>
        </w:rPr>
        <w:t>开户银行：</w:t>
      </w:r>
    </w:p>
    <w:p w14:paraId="65B22F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firstLine="4800" w:firstLineChars="2000"/>
        <w:jc w:val="left"/>
        <w:rPr>
          <w:rFonts w:hint="eastAsia" w:ascii="宋体" w:hAnsi="宋体" w:eastAsia="宋体" w:cs="宋体"/>
          <w:color w:val="1F2329"/>
          <w:kern w:val="0"/>
          <w:sz w:val="24"/>
          <w:szCs w:val="24"/>
          <w:lang w:val="en-US" w:eastAsia="zh-CN" w:bidi="ar"/>
        </w:rPr>
      </w:pPr>
      <w:r>
        <w:rPr>
          <w:rFonts w:hint="eastAsia" w:ascii="宋体" w:hAnsi="宋体" w:eastAsia="宋体" w:cs="宋体"/>
          <w:color w:val="1F2329"/>
          <w:kern w:val="0"/>
          <w:sz w:val="24"/>
          <w:szCs w:val="24"/>
          <w:lang w:val="en-US" w:eastAsia="zh-CN" w:bidi="ar"/>
        </w:rPr>
        <w:t>账号：</w:t>
      </w:r>
    </w:p>
    <w:p w14:paraId="7745C8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color w:val="1F2329"/>
          <w:sz w:val="24"/>
          <w:szCs w:val="24"/>
        </w:rPr>
      </w:pPr>
      <w:r>
        <w:rPr>
          <w:rFonts w:ascii="宋体" w:hAnsi="宋体" w:eastAsia="宋体" w:cs="宋体"/>
          <w:color w:val="1F2329"/>
          <w:kern w:val="0"/>
          <w:sz w:val="24"/>
          <w:szCs w:val="24"/>
          <w:lang w:val="en-US" w:eastAsia="zh-CN" w:bidi="ar"/>
        </w:rPr>
        <w:t>日期：</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 xml:space="preserve"> 年 </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 xml:space="preserve">月 </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日</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日期：</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 xml:space="preserve"> 年</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 xml:space="preserve"> 月 </w:t>
      </w:r>
      <w:r>
        <w:rPr>
          <w:rFonts w:hint="eastAsia" w:ascii="宋体" w:hAnsi="宋体" w:eastAsia="宋体" w:cs="宋体"/>
          <w:color w:val="1F2329"/>
          <w:kern w:val="0"/>
          <w:sz w:val="24"/>
          <w:szCs w:val="24"/>
          <w:lang w:val="en-US" w:eastAsia="zh-CN" w:bidi="ar"/>
        </w:rPr>
        <w:t xml:space="preserve">  </w:t>
      </w:r>
      <w:r>
        <w:rPr>
          <w:rFonts w:ascii="宋体" w:hAnsi="宋体" w:eastAsia="宋体" w:cs="宋体"/>
          <w:color w:val="1F2329"/>
          <w:kern w:val="0"/>
          <w:sz w:val="24"/>
          <w:szCs w:val="24"/>
          <w:lang w:val="en-US" w:eastAsia="zh-CN"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F00CA"/>
    <w:rsid w:val="103435D2"/>
    <w:rsid w:val="2AB419D2"/>
    <w:rsid w:val="52DC0BA1"/>
    <w:rsid w:val="5BB45379"/>
    <w:rsid w:val="660404C6"/>
    <w:rsid w:val="674417C3"/>
    <w:rsid w:val="6BD134C1"/>
    <w:rsid w:val="6C6856B5"/>
    <w:rsid w:val="73901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4720</Words>
  <Characters>4764</Characters>
  <Lines>0</Lines>
  <Paragraphs>0</Paragraphs>
  <TotalTime>8</TotalTime>
  <ScaleCrop>false</ScaleCrop>
  <LinksUpToDate>false</LinksUpToDate>
  <CharactersWithSpaces>5050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2026-04-16T01:20:00Z</dcterms:created>
  <dc:creator>Administrator</dc:creator>
  <cp:lastModifiedBy>WPS_1743074128</cp:lastModifiedBy>
  <dcterms:modified xsi:type="dcterms:W3CDTF">2026-04-16T10:42:43Z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eyJoZGlkIjoiYWI2N2VlNzRjYjUxMGIzNDEyODFkMzAwODBlY2Y2MTEiLCJ1c2VySWQiOiIxNjg5Njc4ODA0In0=</vt:lpwstr>
  </property>
  <property fmtid="{D5CDD505-2E9C-101B-9397-08002B2CF9AE}" pid="4" name="ICV">
    <vt:lpwstr>5B75CD97CAD2461993A9B5388C8E5E8F_13</vt:lpwstr>
  </property>
</Properties>
</file>