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版本号：TZZB-HZ-2026073C20260414001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脑电生物反馈治疗仪采购项目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TZZB-HZ-2026073C</w:t>
      </w:r>
      <w:r>
        <w:br/>
      </w:r>
      <w:r>
        <w:br/>
      </w:r>
      <w:r>
        <w:br/>
      </w:r>
    </w:p>
    <w:p>
      <w:pPr>
        <w:pStyle w:val="null3"/>
        <w:jc w:val="center"/>
        <w:outlineLvl w:val="2"/>
      </w:pPr>
      <w:r>
        <w:rPr>
          <w:rFonts w:ascii="仿宋_GB2312" w:hAnsi="仿宋_GB2312" w:cs="仿宋_GB2312" w:eastAsia="仿宋_GB2312"/>
          <w:sz w:val="28"/>
          <w:b/>
        </w:rPr>
        <w:t>城固县中医医院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城固县中医医院</w:t>
      </w:r>
      <w:r>
        <w:rPr>
          <w:rFonts w:ascii="仿宋_GB2312" w:hAnsi="仿宋_GB2312" w:cs="仿宋_GB2312" w:eastAsia="仿宋_GB2312"/>
        </w:rPr>
        <w:t>委托，拟对</w:t>
      </w:r>
      <w:r>
        <w:rPr>
          <w:rFonts w:ascii="仿宋_GB2312" w:hAnsi="仿宋_GB2312" w:cs="仿宋_GB2312" w:eastAsia="仿宋_GB2312"/>
        </w:rPr>
        <w:t>脑电生物反馈治疗仪采购项目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TZZB-HZ-2026073C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脑电生物反馈治疗仪采购项目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采购脑电生物反馈治疗仪1套(一拖十)。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谈判全过程：法定代表人直接参加谈判的，须出具法人身份证（附法定代表人身份证复印件）；法定代表人授权代表参加谈判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供应商医疗资格要求：①供应商为经销商的应提供《医疗器械经营许可证》或《医疗器械经营备案凭证》（所投产品须在其经营范围内）和生产厂家的《医疗器械生产许可证》或《医疗器械生产备案凭证》（所投产品须在其生产范围内）；供应商为生产厂家的应提供《医疗器械经营许可证》或《医疗器械经营备案凭证》（所投产品须在其经营范围内）和《医疗器械生产许可证》（所投产品须在其生产范围内）。②所投产品属于医疗器械管理的提供《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城固县西环一路61号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0916-7209317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喷墨打印机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电脑、喷墨打印机</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城固县中医医院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城固县中医医院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同正项目管理有限公司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采购脑电生物反馈治疗仪1套(一拖十)。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脑电生物反馈治疗仪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标的名称：脑电生物反馈治疗仪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color w:val="000000"/>
              </w:rPr>
              <w:t># 脑电生物反馈治疗仪：1套(一拖十)</w:t>
            </w:r>
          </w:p>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适用范围：</w:t>
            </w:r>
            <w:r>
              <w:rPr>
                <w:rFonts w:ascii="仿宋_GB2312" w:hAnsi="仿宋_GB2312" w:cs="仿宋_GB2312" w:eastAsia="仿宋_GB2312"/>
                <w:sz w:val="18"/>
                <w:color w:val="000000"/>
              </w:rPr>
              <w:t>适用于医疗单位对失眠、儿童多动症的辅助治疗。改善压力应对能力，帮助人们降低压力水平，提高情绪稳定性，增强应对压力的能力；控制情绪障碍，帮助人们掌握调节自己情绪的技巧，减少情绪波动，提升情绪稳定和积极情绪；促进睡眠质量，调节大脑的睡眠模式和节律，帮助人们入睡更快、睡眠更深，提高睡眠质量，促进身体健康。</w:t>
            </w:r>
          </w:p>
          <w:p>
            <w:pPr>
              <w:pStyle w:val="null3"/>
            </w:pPr>
            <w:r>
              <w:rPr>
                <w:rFonts w:ascii="仿宋_GB2312" w:hAnsi="仿宋_GB2312" w:cs="仿宋_GB2312" w:eastAsia="仿宋_GB2312"/>
                <w:sz w:val="18"/>
                <w:color w:val="000000"/>
              </w:rPr>
              <w:t>二、产品组成：主机总控制端，治疗终端机，脑电头环（头带），头环（头带）主机，耳机，无线路由器，隔断或台车，脑电生物反馈系统，UPS电源。</w:t>
            </w:r>
          </w:p>
          <w:p>
            <w:pPr>
              <w:pStyle w:val="null3"/>
              <w:jc w:val="left"/>
            </w:pPr>
            <w:r>
              <w:rPr>
                <w:rFonts w:ascii="仿宋_GB2312" w:hAnsi="仿宋_GB2312" w:cs="仿宋_GB2312" w:eastAsia="仿宋_GB2312"/>
                <w:sz w:val="18"/>
                <w:color w:val="000000"/>
              </w:rPr>
              <w:t>三、脑电信号采集器参数：</w:t>
            </w:r>
          </w:p>
          <w:p>
            <w:pPr>
              <w:pStyle w:val="null3"/>
              <w:ind w:firstLine="400"/>
            </w:pPr>
            <w:r>
              <w:rPr>
                <w:rFonts w:ascii="仿宋_GB2312" w:hAnsi="仿宋_GB2312" w:cs="仿宋_GB2312" w:eastAsia="仿宋_GB2312"/>
                <w:sz w:val="18"/>
                <w:color w:val="000000"/>
              </w:rPr>
              <w:t>1、噪声电平：≤5uV。</w:t>
            </w:r>
          </w:p>
          <w:p>
            <w:pPr>
              <w:pStyle w:val="null3"/>
              <w:ind w:firstLine="400"/>
            </w:pPr>
            <w:r>
              <w:rPr>
                <w:rFonts w:ascii="仿宋_GB2312" w:hAnsi="仿宋_GB2312" w:cs="仿宋_GB2312" w:eastAsia="仿宋_GB2312"/>
                <w:sz w:val="18"/>
                <w:color w:val="000000"/>
              </w:rPr>
              <w:t>2、共模抑制比：≥80dB。</w:t>
            </w:r>
          </w:p>
          <w:p>
            <w:pPr>
              <w:pStyle w:val="null3"/>
              <w:ind w:firstLine="400"/>
              <w:jc w:val="left"/>
            </w:pPr>
            <w:r>
              <w:rPr>
                <w:rFonts w:ascii="仿宋_GB2312" w:hAnsi="仿宋_GB2312" w:cs="仿宋_GB2312" w:eastAsia="仿宋_GB2312"/>
                <w:sz w:val="18"/>
                <w:color w:val="000000"/>
              </w:rPr>
              <w:t>3、输入范围：≥±500uV。</w:t>
            </w:r>
          </w:p>
          <w:p>
            <w:pPr>
              <w:pStyle w:val="null3"/>
              <w:ind w:firstLine="400"/>
              <w:jc w:val="left"/>
            </w:pPr>
            <w:r>
              <w:rPr>
                <w:rFonts w:ascii="仿宋_GB2312" w:hAnsi="仿宋_GB2312" w:cs="仿宋_GB2312" w:eastAsia="仿宋_GB2312"/>
                <w:sz w:val="18"/>
                <w:color w:val="000000"/>
              </w:rPr>
              <w:t>4、耐极化电压：以峰谷值100μV时，周期1s标准方波的幅值为基准，加±300mV直流极化电压，幅值偏差不超过标准方波的±5%。</w:t>
            </w:r>
          </w:p>
          <w:p>
            <w:pPr>
              <w:pStyle w:val="null3"/>
              <w:ind w:firstLine="400"/>
              <w:jc w:val="left"/>
            </w:pPr>
            <w:r>
              <w:rPr>
                <w:rFonts w:ascii="仿宋_GB2312" w:hAnsi="仿宋_GB2312" w:cs="仿宋_GB2312" w:eastAsia="仿宋_GB2312"/>
                <w:sz w:val="18"/>
                <w:color w:val="000000"/>
              </w:rPr>
              <w:t>5、时间间隔:误差不超过±5%。</w:t>
            </w:r>
          </w:p>
          <w:p>
            <w:pPr>
              <w:pStyle w:val="null3"/>
              <w:jc w:val="left"/>
            </w:pPr>
            <w:r>
              <w:rPr>
                <w:rFonts w:ascii="仿宋_GB2312" w:hAnsi="仿宋_GB2312" w:cs="仿宋_GB2312" w:eastAsia="仿宋_GB2312"/>
                <w:sz w:val="18"/>
                <w:color w:val="000000"/>
              </w:rPr>
              <w:t>★四、脑电电极的生物相容性与患者接触的材料无细胞毒性、迟发型超敏反应和皮内反应。该材料必须进行生物相容性的试验或评价。</w:t>
            </w:r>
            <w:r>
              <w:rPr>
                <w:rFonts w:ascii="仿宋_GB2312" w:hAnsi="仿宋_GB2312" w:cs="仿宋_GB2312" w:eastAsia="仿宋_GB2312"/>
                <w:sz w:val="18"/>
                <w:b/>
                <w:color w:val="000000"/>
              </w:rPr>
              <w:t>（国家强制性必检项目，须提供第三方检验机构出具的检验报告和关于此项内容的承诺书并加盖供应商公章）</w:t>
            </w:r>
          </w:p>
          <w:p>
            <w:pPr>
              <w:pStyle w:val="null3"/>
              <w:ind w:firstLine="400"/>
              <w:jc w:val="left"/>
            </w:pPr>
            <w:r>
              <w:rPr>
                <w:rFonts w:ascii="仿宋_GB2312" w:hAnsi="仿宋_GB2312" w:cs="仿宋_GB2312" w:eastAsia="仿宋_GB2312"/>
                <w:sz w:val="18"/>
                <w:color w:val="000000"/>
              </w:rPr>
              <w:t>1、细胞毒性试验：无细胞毒性，需符合国家规定。</w:t>
            </w:r>
          </w:p>
          <w:p>
            <w:pPr>
              <w:pStyle w:val="null3"/>
              <w:ind w:firstLine="400"/>
              <w:jc w:val="left"/>
            </w:pPr>
            <w:r>
              <w:rPr>
                <w:rFonts w:ascii="仿宋_GB2312" w:hAnsi="仿宋_GB2312" w:cs="仿宋_GB2312" w:eastAsia="仿宋_GB2312"/>
                <w:sz w:val="18"/>
                <w:color w:val="000000"/>
              </w:rPr>
              <w:t>2、皮肤致敏（封闭贴敷试验）：无致敏反应，需符合国家规定。</w:t>
            </w:r>
          </w:p>
          <w:p>
            <w:pPr>
              <w:pStyle w:val="null3"/>
              <w:ind w:firstLine="400"/>
              <w:jc w:val="left"/>
            </w:pPr>
            <w:r>
              <w:rPr>
                <w:rFonts w:ascii="仿宋_GB2312" w:hAnsi="仿宋_GB2312" w:cs="仿宋_GB2312" w:eastAsia="仿宋_GB2312"/>
                <w:sz w:val="18"/>
                <w:color w:val="000000"/>
              </w:rPr>
              <w:t>3、皮肤刺激试验：极轻微刺激反应，需符合国家规定。</w:t>
            </w:r>
          </w:p>
          <w:p>
            <w:pPr>
              <w:pStyle w:val="null3"/>
              <w:jc w:val="left"/>
            </w:pPr>
            <w:r>
              <w:rPr>
                <w:rFonts w:ascii="仿宋_GB2312" w:hAnsi="仿宋_GB2312" w:cs="仿宋_GB2312" w:eastAsia="仿宋_GB2312"/>
                <w:sz w:val="18"/>
                <w:color w:val="000000"/>
              </w:rPr>
              <w:t>五、软件配置</w:t>
            </w:r>
          </w:p>
          <w:p>
            <w:pPr>
              <w:pStyle w:val="null3"/>
              <w:ind w:firstLine="400"/>
              <w:jc w:val="left"/>
            </w:pPr>
            <w:r>
              <w:rPr>
                <w:rFonts w:ascii="仿宋_GB2312" w:hAnsi="仿宋_GB2312" w:cs="仿宋_GB2312" w:eastAsia="仿宋_GB2312"/>
                <w:sz w:val="18"/>
                <w:color w:val="000000"/>
              </w:rPr>
              <w:t>1、脑电生物反馈远程控制软件：总控制端收集治疗端的数据和报告，总控制端可实时操控治疗端的功能。</w:t>
            </w:r>
          </w:p>
          <w:p>
            <w:pPr>
              <w:pStyle w:val="null3"/>
              <w:ind w:firstLine="400"/>
              <w:jc w:val="left"/>
            </w:pPr>
            <w:r>
              <w:rPr>
                <w:rFonts w:ascii="仿宋_GB2312" w:hAnsi="仿宋_GB2312" w:cs="仿宋_GB2312" w:eastAsia="仿宋_GB2312"/>
                <w:sz w:val="18"/>
                <w:color w:val="000000"/>
              </w:rPr>
              <w:t>2、分为总控制端和治疗端，治疗端即开即用，任何治疗端均可分离作为独立单机使用。</w:t>
            </w:r>
          </w:p>
          <w:p>
            <w:pPr>
              <w:pStyle w:val="null3"/>
              <w:ind w:firstLine="400"/>
              <w:jc w:val="left"/>
            </w:pPr>
            <w:r>
              <w:rPr>
                <w:rFonts w:ascii="仿宋_GB2312" w:hAnsi="仿宋_GB2312" w:cs="仿宋_GB2312" w:eastAsia="仿宋_GB2312"/>
                <w:sz w:val="18"/>
                <w:color w:val="000000"/>
              </w:rPr>
              <w:t>★3、总控制端可以集中控制≥10个治疗端。（</w:t>
            </w:r>
            <w:r>
              <w:rPr>
                <w:rFonts w:ascii="仿宋_GB2312" w:hAnsi="仿宋_GB2312" w:cs="仿宋_GB2312" w:eastAsia="仿宋_GB2312"/>
                <w:sz w:val="18"/>
                <w:b/>
                <w:color w:val="000000"/>
              </w:rPr>
              <w:t>需提供与之对应的相关证明材料：第三方机构出具的检测报告/技术白皮书/宣传彩页等并加盖供应商公章）</w:t>
            </w:r>
          </w:p>
          <w:p>
            <w:pPr>
              <w:pStyle w:val="null3"/>
              <w:ind w:firstLine="400"/>
              <w:jc w:val="left"/>
            </w:pPr>
            <w:r>
              <w:rPr>
                <w:rFonts w:ascii="仿宋_GB2312" w:hAnsi="仿宋_GB2312" w:cs="仿宋_GB2312" w:eastAsia="仿宋_GB2312"/>
                <w:sz w:val="18"/>
                <w:color w:val="000000"/>
              </w:rPr>
              <w:t>4、个性化和针对性治疗：支持不同病症的治疗，团体治疗过程中患者随进随出，无需中断未结束治疗的患者，即可进入空余治疗端开始个体针对性治疗，互不影响。</w:t>
            </w:r>
          </w:p>
          <w:p>
            <w:pPr>
              <w:pStyle w:val="null3"/>
              <w:ind w:firstLine="400"/>
              <w:jc w:val="left"/>
            </w:pPr>
            <w:r>
              <w:rPr>
                <w:rFonts w:ascii="仿宋_GB2312" w:hAnsi="仿宋_GB2312" w:cs="仿宋_GB2312" w:eastAsia="仿宋_GB2312"/>
                <w:sz w:val="18"/>
                <w:color w:val="000000"/>
              </w:rPr>
              <w:t>5、服务器可存储所有历史记录与训练方案，查看数据和分析，查询、打印病人治疗报告等。</w:t>
            </w:r>
          </w:p>
          <w:p>
            <w:pPr>
              <w:pStyle w:val="null3"/>
              <w:ind w:firstLine="400"/>
              <w:jc w:val="left"/>
            </w:pPr>
            <w:r>
              <w:rPr>
                <w:rFonts w:ascii="仿宋_GB2312" w:hAnsi="仿宋_GB2312" w:cs="仿宋_GB2312" w:eastAsia="仿宋_GB2312"/>
                <w:sz w:val="18"/>
                <w:color w:val="000000"/>
              </w:rPr>
              <w:t>6、内含≥20种精神心理量表。</w:t>
            </w:r>
          </w:p>
          <w:p>
            <w:pPr>
              <w:pStyle w:val="null3"/>
              <w:ind w:firstLine="400"/>
              <w:jc w:val="left"/>
            </w:pPr>
            <w:r>
              <w:rPr>
                <w:rFonts w:ascii="仿宋_GB2312" w:hAnsi="仿宋_GB2312" w:cs="仿宋_GB2312" w:eastAsia="仿宋_GB2312"/>
                <w:sz w:val="18"/>
                <w:color w:val="000000"/>
              </w:rPr>
              <w:t>7、可根据测评结果，针对不同频段的脑电波进行驱动或抑制。</w:t>
            </w:r>
          </w:p>
          <w:p>
            <w:pPr>
              <w:pStyle w:val="null3"/>
              <w:ind w:firstLine="400"/>
              <w:jc w:val="left"/>
            </w:pPr>
            <w:r>
              <w:rPr>
                <w:rFonts w:ascii="仿宋_GB2312" w:hAnsi="仿宋_GB2312" w:cs="仿宋_GB2312" w:eastAsia="仿宋_GB2312"/>
                <w:sz w:val="18"/>
                <w:color w:val="000000"/>
              </w:rPr>
              <w:t>★8、脑电信号采集器采用无线连接，活动范围自由，方便佩戴。（</w:t>
            </w:r>
            <w:r>
              <w:rPr>
                <w:rFonts w:ascii="仿宋_GB2312" w:hAnsi="仿宋_GB2312" w:cs="仿宋_GB2312" w:eastAsia="仿宋_GB2312"/>
                <w:sz w:val="18"/>
                <w:b/>
                <w:color w:val="000000"/>
              </w:rPr>
              <w:t>需提供与之对应的相关证明材料：第三方机构出具的检测报告/技术白皮书/宣传彩页等并加盖供应商公章）</w:t>
            </w:r>
          </w:p>
          <w:p>
            <w:pPr>
              <w:pStyle w:val="null3"/>
              <w:ind w:firstLine="400"/>
              <w:jc w:val="left"/>
            </w:pPr>
            <w:r>
              <w:rPr>
                <w:rFonts w:ascii="仿宋_GB2312" w:hAnsi="仿宋_GB2312" w:cs="仿宋_GB2312" w:eastAsia="仿宋_GB2312"/>
                <w:sz w:val="18"/>
                <w:color w:val="000000"/>
              </w:rPr>
              <w:t>9、播放动画的反馈软件种类丰富，包含专注力训练≥30个、脑电反馈≥40个、冥想放松≥35个，范式总数＞100种。</w:t>
            </w:r>
          </w:p>
          <w:p>
            <w:pPr>
              <w:pStyle w:val="null3"/>
              <w:ind w:firstLine="400"/>
              <w:jc w:val="left"/>
            </w:pPr>
            <w:r>
              <w:rPr>
                <w:rFonts w:ascii="仿宋_GB2312" w:hAnsi="仿宋_GB2312" w:cs="仿宋_GB2312" w:eastAsia="仿宋_GB2312"/>
                <w:sz w:val="18"/>
                <w:color w:val="000000"/>
              </w:rPr>
              <w:t>10、播放动画的反馈软件中会根据患者的脑电信号语音提示患者。</w:t>
            </w:r>
          </w:p>
          <w:p>
            <w:pPr>
              <w:pStyle w:val="null3"/>
              <w:jc w:val="left"/>
            </w:pPr>
            <w:r>
              <w:rPr>
                <w:rFonts w:ascii="仿宋_GB2312" w:hAnsi="仿宋_GB2312" w:cs="仿宋_GB2312" w:eastAsia="仿宋_GB2312"/>
                <w:sz w:val="18"/>
                <w:color w:val="000000"/>
              </w:rPr>
              <w:t>六、配置要求</w:t>
            </w:r>
          </w:p>
          <w:p>
            <w:pPr>
              <w:pStyle w:val="null3"/>
              <w:ind w:firstLine="400"/>
              <w:jc w:val="left"/>
            </w:pPr>
            <w:r>
              <w:rPr>
                <w:rFonts w:ascii="仿宋_GB2312" w:hAnsi="仿宋_GB2312" w:cs="仿宋_GB2312" w:eastAsia="仿宋_GB2312"/>
                <w:sz w:val="18"/>
                <w:color w:val="000000"/>
              </w:rPr>
              <w:t>1、知名品牌电脑11台，i7,14代，内存≥32G，固态硬盘≥500G，集成显卡，高清屏幕显示器≥23寸。</w:t>
            </w:r>
          </w:p>
          <w:p>
            <w:pPr>
              <w:pStyle w:val="null3"/>
              <w:ind w:firstLine="400"/>
              <w:jc w:val="left"/>
            </w:pPr>
            <w:r>
              <w:rPr>
                <w:rFonts w:ascii="仿宋_GB2312" w:hAnsi="仿宋_GB2312" w:cs="仿宋_GB2312" w:eastAsia="仿宋_GB2312"/>
                <w:sz w:val="18"/>
                <w:color w:val="000000"/>
              </w:rPr>
              <w:t>2、品牌喷墨打印机一台，连供。</w:t>
            </w:r>
          </w:p>
          <w:p>
            <w:pPr>
              <w:pStyle w:val="null3"/>
              <w:ind w:firstLine="400"/>
              <w:jc w:val="left"/>
            </w:pPr>
            <w:r>
              <w:rPr>
                <w:rFonts w:ascii="仿宋_GB2312" w:hAnsi="仿宋_GB2312" w:cs="仿宋_GB2312" w:eastAsia="仿宋_GB2312"/>
                <w:sz w:val="18"/>
                <w:color w:val="000000"/>
              </w:rPr>
              <w:t>3、脑电电极帽或头环（头带）主机≥10个，电极或头环（头带）≥20个，耳机≥10个。</w:t>
            </w:r>
          </w:p>
          <w:p>
            <w:pPr>
              <w:pStyle w:val="null3"/>
              <w:ind w:firstLine="400"/>
              <w:jc w:val="left"/>
            </w:pPr>
            <w:r>
              <w:rPr>
                <w:rFonts w:ascii="仿宋_GB2312" w:hAnsi="仿宋_GB2312" w:cs="仿宋_GB2312" w:eastAsia="仿宋_GB2312"/>
                <w:sz w:val="18"/>
                <w:color w:val="000000"/>
              </w:rPr>
              <w:t>4、隔断或台车11套，椅子11把。</w:t>
            </w:r>
          </w:p>
          <w:p>
            <w:pPr>
              <w:pStyle w:val="null3"/>
              <w:ind w:firstLine="400"/>
              <w:jc w:val="left"/>
            </w:pPr>
            <w:r>
              <w:rPr>
                <w:rFonts w:ascii="仿宋_GB2312" w:hAnsi="仿宋_GB2312" w:cs="仿宋_GB2312" w:eastAsia="仿宋_GB2312"/>
                <w:sz w:val="18"/>
                <w:color w:val="000000"/>
              </w:rPr>
              <w:t>5、知名品牌UPS不间断电源一套，含主机、蓄电池、电池柜，5400W，延时30分钟，支持外接电池扩展。</w:t>
            </w:r>
          </w:p>
          <w:p>
            <w:pPr>
              <w:pStyle w:val="null3"/>
              <w:ind w:firstLine="400"/>
              <w:jc w:val="left"/>
            </w:pPr>
            <w:r>
              <w:rPr>
                <w:rFonts w:ascii="仿宋_GB2312" w:hAnsi="仿宋_GB2312" w:cs="仿宋_GB2312" w:eastAsia="仿宋_GB2312"/>
                <w:sz w:val="18"/>
                <w:color w:val="000000"/>
              </w:rPr>
              <w:t>6、设备使用年限≥8年。</w:t>
            </w:r>
          </w:p>
          <w:p>
            <w:pPr>
              <w:pStyle w:val="null3"/>
              <w:ind w:firstLine="400"/>
              <w:jc w:val="left"/>
            </w:pPr>
            <w:r>
              <w:rPr>
                <w:rFonts w:ascii="仿宋_GB2312" w:hAnsi="仿宋_GB2312" w:cs="仿宋_GB2312" w:eastAsia="仿宋_GB2312"/>
                <w:sz w:val="18"/>
                <w:color w:val="000000"/>
              </w:rPr>
              <w:t>7、所有软件终身维护，不定时免费升级，永久使用授权。</w:t>
            </w:r>
          </w:p>
          <w:p>
            <w:pPr>
              <w:pStyle w:val="null3"/>
              <w:ind w:firstLine="400"/>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连接医院</w:t>
            </w:r>
            <w:r>
              <w:rPr>
                <w:rFonts w:ascii="仿宋_GB2312" w:hAnsi="仿宋_GB2312" w:cs="仿宋_GB2312" w:eastAsia="仿宋_GB2312"/>
                <w:sz w:val="18"/>
                <w:color w:val="000000"/>
              </w:rPr>
              <w:t>HIS系统。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1.以上技术参数中标识“★”参数为本项目实质性响应参数，按要求提供佐证材料，不接受负偏离</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未提供</w:t>
            </w:r>
            <w:r>
              <w:rPr>
                <w:rFonts w:ascii="仿宋_GB2312" w:hAnsi="仿宋_GB2312" w:cs="仿宋_GB2312" w:eastAsia="仿宋_GB2312"/>
                <w:sz w:val="22"/>
                <w:b/>
                <w:color w:val="000000"/>
              </w:rPr>
              <w:t>佐证材料或</w:t>
            </w:r>
            <w:r>
              <w:rPr>
                <w:rFonts w:ascii="仿宋_GB2312" w:hAnsi="仿宋_GB2312" w:cs="仿宋_GB2312" w:eastAsia="仿宋_GB2312"/>
                <w:sz w:val="22"/>
                <w:b/>
                <w:color w:val="000000"/>
              </w:rPr>
              <w:t>负偏离，则按废标处理。</w:t>
            </w:r>
          </w:p>
          <w:p>
            <w:pPr>
              <w:pStyle w:val="null3"/>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标识</w:t>
            </w:r>
            <w:r>
              <w:rPr>
                <w:rFonts w:ascii="仿宋_GB2312" w:hAnsi="仿宋_GB2312" w:cs="仿宋_GB2312" w:eastAsia="仿宋_GB2312"/>
                <w:sz w:val="22"/>
                <w:b/>
                <w:color w:val="000000"/>
              </w:rPr>
              <w:t>“</w:t>
            </w:r>
            <w:r>
              <w:rPr>
                <w:rFonts w:ascii="仿宋_GB2312" w:hAnsi="仿宋_GB2312" w:cs="仿宋_GB2312" w:eastAsia="仿宋_GB2312"/>
                <w:sz w:val="20"/>
                <w:b/>
                <w:color w:val="000000"/>
              </w:rPr>
              <w:t>#</w:t>
            </w:r>
            <w:r>
              <w:rPr>
                <w:rFonts w:ascii="仿宋_GB2312" w:hAnsi="仿宋_GB2312" w:cs="仿宋_GB2312" w:eastAsia="仿宋_GB2312"/>
                <w:sz w:val="22"/>
                <w:b/>
                <w:color w:val="000000"/>
              </w:rPr>
              <w:t>”为核心产品。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交货1周后组织验收，按照谈判文件、响应文件和合同约定进行验收。该项目根据需要设置出厂检验、到货检验、配套服务检验等多重验收环节。 履约验收方案应当在合同中约定。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1.质保期：验收合格后≥2年。（成交供应商承诺的质保时间超过采购文件要求的，按其承诺时间质保） 2.成交供应商承诺的质保期起始时间为终验合格之日。3.本项目所有设备质量必须符合国家有关规范和相关政策。所有设备及辅材必须是未使用过的新设备，质量优良、渠道正当，配置合理。为确保设备售后服务的及时性、保障性，交付设备时必须提供原厂售后服务承诺函。 4.质保期出现的质量问题由成交供应商负责解决并承担所有费用。 5.免费提供医疗设备培训使用。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3.如谈判文件中融资相关内容与新政策要求有出入，按照最新要求执行。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法定代表人直接参加谈判的，须出具法人身份证（附法定代表人身份证复印件）；法定代表人授权代表参加谈判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供应商医疗资格要求</w:t>
            </w:r>
          </w:p>
        </w:tc>
        <w:tc>
          <w:tcPr>
            <w:tcW w:type="dxa" w:w="3322"/>
          </w:tcPr>
          <w:p>
            <w:pPr>
              <w:pStyle w:val="null3"/>
            </w:pPr>
            <w:r>
              <w:rPr>
                <w:rFonts w:ascii="仿宋_GB2312" w:hAnsi="仿宋_GB2312" w:cs="仿宋_GB2312" w:eastAsia="仿宋_GB2312"/>
              </w:rPr>
              <w:t>①供应商为经销商的应提供《医疗器械经营许可证》或《医疗器械经营备案凭证》（所投产品须在其经营范围内）和生产厂家的《医疗器械生产许可证》或《医疗器械生产备案凭证》（所投产品须在其生产范围内）；供应商为生产厂家的应提供《医疗器械经营许可证》或《医疗器械经营备案凭证》（所投产品须在其经营范围内）和《医疗器械生产许可证》（所投产品须在其生产范围内）。②所投产品属于医疗器械管理的提供《医疗器械注册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技术参数偏离表.docx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技术参数偏离表.docx 分项报价表.docx 环境标志产品明细表.docx 供应商应提交的相关资格证明材料.docx 优先采购.docx 商务要求应答表.docx 标的清单 节能产品明细表.docx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（2）要求全面响应采购文件，不能有任何采购人不能接受的附加条件；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技术参数偏离表.docx 环境标志产品明细表.docx 中小企业声明函.docx 商务要求应答表.docx 报价表 其他材料及供应商认为有必要说明、阐述的事项.docx 响应文件封面 分项报价表.docx 供应商应提交的相关资格证明材料.docx 优先采购.docx 残疾人福利性单位声明函 标的清单 节能产品明细表.docx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政府强制采购产品</w:t>
            </w:r>
          </w:p>
        </w:tc>
        <w:tc>
          <w:tcPr>
            <w:tcW w:type="dxa" w:w="3322"/>
          </w:tcPr>
          <w:p>
            <w:pPr>
              <w:pStyle w:val="null3"/>
            </w:pPr>
            <w:r>
              <w:rPr>
                <w:rFonts w:ascii="仿宋_GB2312" w:hAnsi="仿宋_GB2312" w:cs="仿宋_GB2312" w:eastAsia="仿宋_GB2312"/>
              </w:rPr>
              <w:t>1.属于《节能产品政府采购品目清单》中政府强制采购产品的，供应商应当提供国家确定的认证机构出具的、处于有效期之内的节能产品认证证书，否则作无效响应处理。 2.属于政府强制采购产品不填报的，按无效响应文件处理。</w:t>
            </w:r>
          </w:p>
        </w:tc>
        <w:tc>
          <w:tcPr>
            <w:tcW w:type="dxa" w:w="1661"/>
          </w:tcPr>
          <w:p>
            <w:pPr>
              <w:pStyle w:val="null3"/>
            </w:pPr>
            <w:r>
              <w:rPr>
                <w:rFonts w:ascii="仿宋_GB2312" w:hAnsi="仿宋_GB2312" w:cs="仿宋_GB2312" w:eastAsia="仿宋_GB2312"/>
              </w:rPr>
              <w:t>节能产品明细表.docx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须满足采购文件要求</w:t>
            </w:r>
          </w:p>
        </w:tc>
        <w:tc>
          <w:tcPr>
            <w:tcW w:type="dxa" w:w="1661"/>
          </w:tcPr>
          <w:p>
            <w:pPr>
              <w:pStyle w:val="null3"/>
            </w:pPr>
            <w:r>
              <w:rPr>
                <w:rFonts w:ascii="仿宋_GB2312" w:hAnsi="仿宋_GB2312" w:cs="仿宋_GB2312" w:eastAsia="仿宋_GB2312"/>
              </w:rPr>
              <w:t>技术参数偏离表.docx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详见附件：环境标志产品明细表.docx</w:t>
      </w:r>
    </w:p>
    <w:p>
      <w:pPr>
        <w:pStyle w:val="null3"/>
        <w:ind w:firstLine="960"/>
      </w:pPr>
      <w:r>
        <w:rPr>
          <w:rFonts w:ascii="仿宋_GB2312" w:hAnsi="仿宋_GB2312" w:cs="仿宋_GB2312" w:eastAsia="仿宋_GB2312"/>
        </w:rPr>
        <w:t>详见附件：其他材料及供应商认为有必要说明、阐述的事项.docx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详见附件：节能产品明细表.docx</w:t>
      </w:r>
    </w:p>
    <w:p>
      <w:pPr>
        <w:pStyle w:val="null3"/>
        <w:ind w:firstLine="960"/>
      </w:pPr>
      <w:r>
        <w:rPr>
          <w:rFonts w:ascii="仿宋_GB2312" w:hAnsi="仿宋_GB2312" w:cs="仿宋_GB2312" w:eastAsia="仿宋_GB2312"/>
        </w:rPr>
        <w:t>详见附件：优先采购.docx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