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版本号：ZHYB-HZ-2026-00320260415001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城市更新项目(108国道沿线污水厂西侧绿道建设）</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ZHYB-HZ-2026-003</w:t>
      </w:r>
      <w:r>
        <w:br/>
      </w:r>
      <w:r>
        <w:br/>
      </w:r>
      <w:r>
        <w:br/>
      </w:r>
    </w:p>
    <w:p>
      <w:pPr>
        <w:pStyle w:val="null3"/>
        <w:jc w:val="center"/>
        <w:outlineLvl w:val="2"/>
      </w:pPr>
      <w:r>
        <w:rPr>
          <w:rFonts w:ascii="仿宋_GB2312" w:hAnsi="仿宋_GB2312" w:cs="仿宋_GB2312" w:eastAsia="仿宋_GB2312"/>
          <w:sz w:val="28"/>
          <w:b/>
        </w:rPr>
        <w:t>城固县住房和城乡建设局</w:t>
      </w:r>
    </w:p>
    <w:p>
      <w:pPr>
        <w:pStyle w:val="null3"/>
        <w:jc w:val="center"/>
        <w:outlineLvl w:val="2"/>
      </w:pPr>
      <w:r>
        <w:rPr>
          <w:rFonts w:ascii="仿宋_GB2312" w:hAnsi="仿宋_GB2312" w:cs="仿宋_GB2312" w:eastAsia="仿宋_GB2312"/>
          <w:sz w:val="28"/>
          <w:b/>
        </w:rPr>
        <w:t>中鸿亿博集团有限公司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中鸿亿博集团有限公司</w:t>
      </w:r>
      <w:r>
        <w:rPr>
          <w:rFonts w:ascii="仿宋_GB2312" w:hAnsi="仿宋_GB2312" w:cs="仿宋_GB2312" w:eastAsia="仿宋_GB2312"/>
        </w:rPr>
        <w:t>（以下简称“代理机构”）受</w:t>
      </w:r>
      <w:r>
        <w:rPr>
          <w:rFonts w:ascii="仿宋_GB2312" w:hAnsi="仿宋_GB2312" w:cs="仿宋_GB2312" w:eastAsia="仿宋_GB2312"/>
        </w:rPr>
        <w:t>城固县住房和城乡建设局</w:t>
      </w:r>
      <w:r>
        <w:rPr>
          <w:rFonts w:ascii="仿宋_GB2312" w:hAnsi="仿宋_GB2312" w:cs="仿宋_GB2312" w:eastAsia="仿宋_GB2312"/>
        </w:rPr>
        <w:t>委托，拟对</w:t>
      </w:r>
      <w:r>
        <w:rPr>
          <w:rFonts w:ascii="仿宋_GB2312" w:hAnsi="仿宋_GB2312" w:cs="仿宋_GB2312" w:eastAsia="仿宋_GB2312"/>
        </w:rPr>
        <w:t>城市更新项目(108国道沿线污水厂西侧绿道建设）</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ZHYB-HZ-2026-003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城市更新项目(108国道沿线污水厂西侧绿道建设）</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种植杏梅、广玉兰、红玉兰、旱莲、红枫等乔木；树状月季、冬青球、含笑球红叶石楠球、小叶女贞球等灌木；铺设草坪及安装绿地灌溉配件。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采购包1（城市更新项目(108国道沿线污水厂西侧绿道建设））：属于专门面向中小企业采购。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应具有独立承担民事责任的能力且具备向采购人提供相关服务的企业法人，其他组织或者自然人，企业法人应提供统一社会信用代码的营业执照；其他组织应提供合法证明文件；自然人应提供身份证明文件。</w:t>
      </w:r>
    </w:p>
    <w:p>
      <w:pPr>
        <w:pStyle w:val="null3"/>
      </w:pPr>
      <w:r>
        <w:rPr>
          <w:rFonts w:ascii="仿宋_GB2312" w:hAnsi="仿宋_GB2312" w:cs="仿宋_GB2312" w:eastAsia="仿宋_GB2312"/>
        </w:rPr>
        <w:t>2、法定代表人或委托代理人身份证明：法定代表人直接参加磋商的，须出具法人身份证（附法定代表人身份证复印件）；法定代表人授权代表参加磋商的，须出具法定代表人授权书及授权代表身份证（附法定代表人身份证复印件及被授权人身份证复印件）</w:t>
      </w:r>
    </w:p>
    <w:p>
      <w:pPr>
        <w:pStyle w:val="null3"/>
      </w:pPr>
      <w:r>
        <w:rPr>
          <w:rFonts w:ascii="仿宋_GB2312" w:hAnsi="仿宋_GB2312" w:cs="仿宋_GB2312" w:eastAsia="仿宋_GB2312"/>
        </w:rPr>
        <w:t>3、资格承诺：供应商须具有健全的财务会计制度，具有履行合同所必需的设备和专业技术能力,具有依法缴纳税收和社会保障金的良好记录，以及参与本项目采购活动前三年内在经营活动中无重大违法活动记录，供应商提供《汉中市政府采购供应商资格承诺函》</w:t>
      </w:r>
    </w:p>
    <w:p>
      <w:pPr>
        <w:pStyle w:val="null3"/>
      </w:pPr>
      <w:r>
        <w:rPr>
          <w:rFonts w:ascii="仿宋_GB2312" w:hAnsi="仿宋_GB2312" w:cs="仿宋_GB2312" w:eastAsia="仿宋_GB2312"/>
        </w:rPr>
        <w:t>4、本项目不接受联合体磋商：供应商应提供《非联合体声明》</w:t>
      </w:r>
    </w:p>
    <w:p>
      <w:pPr>
        <w:pStyle w:val="null3"/>
      </w:pPr>
      <w:r>
        <w:rPr>
          <w:rFonts w:ascii="仿宋_GB2312" w:hAnsi="仿宋_GB2312" w:cs="仿宋_GB2312" w:eastAsia="仿宋_GB2312"/>
        </w:rPr>
        <w:t>5、供应商资质：供应商需具备建设行政主管部门核发的市政公用工程施工总承包三级及以上资质，并取得安全生产许可证</w:t>
      </w:r>
    </w:p>
    <w:p>
      <w:pPr>
        <w:pStyle w:val="null3"/>
      </w:pPr>
      <w:r>
        <w:rPr>
          <w:rFonts w:ascii="仿宋_GB2312" w:hAnsi="仿宋_GB2312" w:cs="仿宋_GB2312" w:eastAsia="仿宋_GB2312"/>
        </w:rPr>
        <w:t>6、项目负责人要求：项目负责人须具备市政公用工程专业二级及以上注册建造师执业资格，并取得安全生产考核合格证书（建安B证），且无在建工程</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城固县住房和城乡建设局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城固县东环一路南段5号院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吕女士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0916-7211654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中鸿亿博集团有限公司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陕西省汉中市汉台区前进西路艾慕酒店405室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0916-8851898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城固县政府采购管理股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刘科长</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0916-3189266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采购包1：1,358,969.93元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价为基数，根据《国家计委关于印发（招标代理服务收费管理暂行办法）的通知》（计价格〔2002〕1980号）以及《国家发展改革委关于进一步放开建设项目专项业务服务价格的通知》（发改价格〔2015〕299号）规定收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城固县住房和城乡建设局</w:t>
      </w:r>
      <w:r>
        <w:rPr>
          <w:rFonts w:ascii="仿宋_GB2312" w:hAnsi="仿宋_GB2312" w:cs="仿宋_GB2312" w:eastAsia="仿宋_GB2312"/>
        </w:rPr>
        <w:t>和</w:t>
      </w:r>
      <w:r>
        <w:rPr>
          <w:rFonts w:ascii="仿宋_GB2312" w:hAnsi="仿宋_GB2312" w:cs="仿宋_GB2312" w:eastAsia="仿宋_GB2312"/>
        </w:rPr>
        <w:t>中鸿亿博集团有限公司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城固县住房和城乡建设局</w:t>
      </w:r>
      <w:r>
        <w:rPr>
          <w:rFonts w:ascii="仿宋_GB2312" w:hAnsi="仿宋_GB2312" w:cs="仿宋_GB2312" w:eastAsia="仿宋_GB2312"/>
        </w:rPr>
        <w:t>负责解释。除上述磋商文件内容，其他内容由</w:t>
      </w:r>
      <w:r>
        <w:rPr>
          <w:rFonts w:ascii="仿宋_GB2312" w:hAnsi="仿宋_GB2312" w:cs="仿宋_GB2312" w:eastAsia="仿宋_GB2312"/>
        </w:rPr>
        <w:t>中鸿亿博集团有限公司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城固县住房和城乡建设局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中鸿亿博集团有限公司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符合国家规定及相关标准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中鸿亿博集团有限公司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中鸿亿博集团有限公司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中鸿亿博集团有限公司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联系人：陈先生</w:t>
      </w:r>
    </w:p>
    <w:p>
      <w:pPr>
        <w:pStyle w:val="null3"/>
      </w:pPr>
      <w:r>
        <w:rPr>
          <w:rFonts w:ascii="仿宋_GB2312" w:hAnsi="仿宋_GB2312" w:cs="仿宋_GB2312" w:eastAsia="仿宋_GB2312"/>
        </w:rPr>
        <w:t>联系电话：0916-8851898</w:t>
      </w:r>
    </w:p>
    <w:p>
      <w:pPr>
        <w:pStyle w:val="null3"/>
      </w:pPr>
      <w:r>
        <w:rPr>
          <w:rFonts w:ascii="仿宋_GB2312" w:hAnsi="仿宋_GB2312" w:cs="仿宋_GB2312" w:eastAsia="仿宋_GB2312"/>
        </w:rPr>
        <w:t>地址：陕西省汉中市汉台区前进西路艾慕酒店405室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1,358,969.93</w:t>
      </w:r>
    </w:p>
    <w:p>
      <w:pPr>
        <w:pStyle w:val="null3"/>
      </w:pPr>
      <w:r>
        <w:rPr>
          <w:rFonts w:ascii="仿宋_GB2312" w:hAnsi="仿宋_GB2312" w:cs="仿宋_GB2312" w:eastAsia="仿宋_GB2312"/>
        </w:rPr>
        <w:t>采购包最高限价（元）: 1,358,969.93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城市更新项目(108国道沿线污水厂西侧绿道建设）</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1,358,969.93</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标的名称：城市更新项目(108国道沿线污水厂西侧绿道建设）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9"/>
                <w:color w:val="000000"/>
              </w:rPr>
              <w:t>具体内容详见附件工程量清单（电子招标书）。</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质量达到国家合格标准，竣工验收合格。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具有独立承担民事责任的能力且具备向采购人提供相关服务的企业法人，其他组织或者自然人，企业法人应提供统一社会信用代码的营业执照；其他组织应提供合法证明文件；自然人应提供身份证明文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法定代表人或委托代理人身份证明</w:t>
            </w:r>
          </w:p>
        </w:tc>
        <w:tc>
          <w:tcPr>
            <w:tcW w:type="dxa" w:w="3322"/>
          </w:tcPr>
          <w:p>
            <w:pPr>
              <w:pStyle w:val="null3"/>
            </w:pPr>
            <w:r>
              <w:rPr>
                <w:rFonts w:ascii="仿宋_GB2312" w:hAnsi="仿宋_GB2312" w:cs="仿宋_GB2312" w:eastAsia="仿宋_GB2312"/>
              </w:rPr>
              <w:t>法定代表人直接参加磋商的，须出具法人身份证（附法定代表人身份证复印件）；法定代表人授权代表参加磋商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金的良好记录，以及参与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供应商应提供《非联合体声明》</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供应商需具备建设行政主管部门核发的市政公用工程施工总承包三级及以上资质，并取得安全生产许可证</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项目负责人要求</w:t>
            </w:r>
          </w:p>
        </w:tc>
        <w:tc>
          <w:tcPr>
            <w:tcW w:type="dxa" w:w="3322"/>
          </w:tcPr>
          <w:p>
            <w:pPr>
              <w:pStyle w:val="null3"/>
            </w:pPr>
            <w:r>
              <w:rPr>
                <w:rFonts w:ascii="仿宋_GB2312" w:hAnsi="仿宋_GB2312" w:cs="仿宋_GB2312" w:eastAsia="仿宋_GB2312"/>
              </w:rPr>
              <w:t>项目负责人须具备市政公用工程专业二级及以上注册建造师执业资格，并取得安全生产考核合格证书（建安B证），且无在建工程</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响应文件封面 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应满足磋商文件中的要求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响应文件封面 已标价工程量清单 中小企业声明函 残疾人福利性单位声明函 报价函 技术及商务方案.docx 供应商应提交的相关资格证明材料.pdf 技术服务合同条款及其他商务要求应答表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只能有一个有效报价，不得提交选择性报价，且报价不得超过采购预算金额</w:t>
            </w:r>
          </w:p>
        </w:tc>
        <w:tc>
          <w:tcPr>
            <w:tcW w:type="dxa" w:w="1661"/>
          </w:tcPr>
          <w:p>
            <w:pPr>
              <w:pStyle w:val="null3"/>
            </w:pPr>
            <w:r>
              <w:rPr>
                <w:rFonts w:ascii="仿宋_GB2312" w:hAnsi="仿宋_GB2312" w:cs="仿宋_GB2312" w:eastAsia="仿宋_GB2312"/>
              </w:rPr>
              <w:t>报价函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针对本项目提供施工方案，包含①项目总体概况表述；②施工方法；③工程重难点及解决措施；④施工质量通病防治措施。施工方案共4项。 1.施工方案内容详细、完善、针对性强，每项计3分，最高计12分； 2.施工方案内容较为详细、较为完善、针对性较好，每项计2分； 3.施工方案内容一般或不适用于本项目，每项计1分； 未提供不计分。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技术及商务方案.docx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针对本项目提供质量保证措施，包含①质量管理工作流程；②工程质量保障方案；③工程质量控制体系；④各施工阶段质量管理措施。质量保证措施共4项。 1.质量保证措施内容有效可行、措施得力，每项计3分，最高计12分； 2.质量保证措施内容较为有效可行、措施较为得力，每项计2分； 3.质量保证措施内容一般或不适用于本项目，每项计1分；未提供不计分。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技术及商务方案.docx</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针对本项目提供进度保证措施，包含①项目实施进度目标分析；②施工进度计划措施；③关键节点计划措施；④遇夜间、雨季、高温等情况的工期保证措施。进度保证措施共4项。 1.进度保证措施内容详细、完善、有针对性，每项计3分，最高计12分； 2.进度保证措施内容较为详细、较为完善、针对性较好，每项计2分； 3.进度保证措施内容一般或不适用于本项目，每项计1分；未提供不计分。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技术及商务方案.docx</w:t>
            </w:r>
          </w:p>
        </w:tc>
      </w:tr>
      <w:tr>
        <w:tc>
          <w:tcPr>
            <w:tcW w:type="dxa" w:w="831"/>
            <w:vMerge/>
          </w:tcPr>
          <w:p/>
        </w:tc>
        <w:tc>
          <w:tcPr>
            <w:tcW w:type="dxa" w:w="1661"/>
          </w:tcPr>
          <w:p>
            <w:pPr>
              <w:pStyle w:val="null3"/>
            </w:pPr>
            <w:r>
              <w:rPr>
                <w:rFonts w:ascii="仿宋_GB2312" w:hAnsi="仿宋_GB2312" w:cs="仿宋_GB2312" w:eastAsia="仿宋_GB2312"/>
              </w:rPr>
              <w:t>安全文明施工保证措施</w:t>
            </w:r>
          </w:p>
        </w:tc>
        <w:tc>
          <w:tcPr>
            <w:tcW w:type="dxa" w:w="2492"/>
          </w:tcPr>
          <w:p>
            <w:pPr>
              <w:pStyle w:val="null3"/>
            </w:pPr>
            <w:r>
              <w:rPr>
                <w:rFonts w:ascii="仿宋_GB2312" w:hAnsi="仿宋_GB2312" w:cs="仿宋_GB2312" w:eastAsia="仿宋_GB2312"/>
              </w:rPr>
              <w:t>针对本项目提供安全文明施工保证措施，包含①安全文明施工管理制度；②安全文明施工措施；③安全应急预案；④安全生产教育培训。安全文明施工保证措施共4项。 1.安全文明施工保证措施内容有效可行、措施得力，每项计3分，最高计12分； 2.安全文明施工保证措施内容较为有效可行、措施较为得力，每项计2分； 3.安全文明施工保证措施内容一般或不适用于本项目，每项计1分；未提供不计分。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技术及商务方案.docx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针对本项目提供项目管理机构，包含①管理组织结构；②项目关键岗位人员配备及职责；③专业作业队配置及实名制管理。项目管理机构共3项。 1.项目管理机构详细合理、人员配置齐全、管理措施得力，每项计2分；最高计6分； 2.项目管理机构较为详细、人员较为齐全、管理措施较为得力，每项计1.5分； 3.项目管理机构一般、人员配置不齐全、管理措施一般，每项计1分；未提供不计分。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技术及商务方案.docx</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针对本项目提供环境保护措施，包含①环境保护管理体系 ②大气污染防治措施③水环境保护、噪声控制措施等。环境保护措施共3项。 1.环境保护措施内容有效可行、措施得力，每项计2分，最高计6分； 2.环境保护措施内容较为有效可行、措施较为得力，每项计1.5分； 3.环境保护措施内容一般或不适用于本项目，每项计1分；未提供不计分。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技术及商务方案.docx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提供2023年至今(以合同签订时间为准)类似项目的业绩，每项业绩计2.5分，最高计5分。(提供中标通知书或合同协议书复印件加盖单位公章)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技术及商务方案.docx</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针对本项目作出合理有效的施工承诺（主要为不得拖欠施工人员工资、为施工人员缴纳保险等），每提供1项计2.5分，最高计5分；未提供不计分。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技术及商务方案.docx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1.上限为采购预算价，即报价大于上限价视为无效标； 2.以满足本次磋商文件要求的最低报价为评审基准价，其价格为满分； 3.供应商报价得分=[评审基准价/最后报价]×30 注：本项目专门面向中小微企业采购，不再执行价格优惠政策。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详见附件：技术及商务方案.docx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