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版本号：ZC2F2026-FW-00420260421001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县城博望片区地下排水管道更新改造项目监理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ZC2F2026-FW-004</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县城博望片区地下排水管道更新改造项目监理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ZC2F2026-FW-004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县城博望片区地下排水管道更新改造项目监理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1.采购内容：县城博望片区地下排水管道更新 改造项目监理 2.采购数量：1项 3.主要功能或目标：对县城博望片区地下排水管道更新改造项目进度，质量和造价进行全过程管理 4.需满足的要求：按照国家相关政策规范进行 监督管理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3、供应商资质：供应商须具备工程监理综合资质或市政公用工程监理乙级及以上资质(材料应清晰可辨并进行电子签章)</w:t>
      </w:r>
    </w:p>
    <w:p>
      <w:pPr>
        <w:pStyle w:val="null3"/>
      </w:pPr>
      <w:r>
        <w:rPr>
          <w:rFonts w:ascii="仿宋_GB2312" w:hAnsi="仿宋_GB2312" w:cs="仿宋_GB2312" w:eastAsia="仿宋_GB2312"/>
        </w:rPr>
        <w:t>4、项目总监理：拟派总监理工程师须具备【市政公用工程注册监理工程师】执业资格，在本单位注册，且未担任其他在建工程项目的总监理工程师。(材料应清晰可辨并进行电子签章)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开户银行：中国建设银行股份有限公司汉中经济开发区支行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双方在合同约定的服务期内，对服务质量进行确认，同时对约定的服务进行检查，确保服务的质量符合要求。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联系人：中采</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1.采购内容：县城博望片区地下排水管道更新 改造项目监理 2.采购数量：1项 3.主要功能或目标：对县城博望片区地下排水管道更新改造项目进度，质量和造价进行全过程管理 4.需满足的要求：按照国家相关政策规范进行 监督管理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1.监理范围：拟对县城博望片区地下排水管道更新改造项目监理全过程监理服务，对项目实施过程进行监督、验收阶段监理及竣工验收资料移交的监理等相关工作。</w:t>
            </w:r>
            <w:r>
              <w:br/>
            </w:r>
            <w:r>
              <w:rPr>
                <w:rFonts w:ascii="仿宋_GB2312" w:hAnsi="仿宋_GB2312" w:cs="仿宋_GB2312" w:eastAsia="仿宋_GB2312"/>
              </w:rPr>
              <w:t xml:space="preserve"> 2.采购数量：1项</w:t>
            </w:r>
            <w:r>
              <w:br/>
            </w:r>
            <w:r>
              <w:rPr>
                <w:rFonts w:ascii="仿宋_GB2312" w:hAnsi="仿宋_GB2312" w:cs="仿宋_GB2312" w:eastAsia="仿宋_GB2312"/>
              </w:rPr>
              <w:t xml:space="preserve"> 3.主要功能或目标：对县城博望片区地下排水管道更新改造项目进度，质量和造价进行全过程管理</w:t>
            </w:r>
            <w:r>
              <w:br/>
            </w:r>
            <w:r>
              <w:rPr>
                <w:rFonts w:ascii="仿宋_GB2312" w:hAnsi="仿宋_GB2312" w:cs="仿宋_GB2312" w:eastAsia="仿宋_GB2312"/>
              </w:rPr>
              <w:t xml:space="preserve"> 4.需满足的要求：</w:t>
            </w:r>
          </w:p>
          <w:p>
            <w:pPr>
              <w:pStyle w:val="null3"/>
            </w:pPr>
            <w:r>
              <w:rPr>
                <w:rFonts w:ascii="仿宋_GB2312" w:hAnsi="仿宋_GB2312" w:cs="仿宋_GB2312" w:eastAsia="仿宋_GB2312"/>
              </w:rPr>
              <w:t>（1）质量控制：必须严格依照国家有关规定，检查施工单位所施工的项目是否符合预定的质量要求，而且整个监理工作中应强调对工程质量的事前控制、事中监管和事后评估。</w:t>
            </w:r>
          </w:p>
          <w:p>
            <w:pPr>
              <w:pStyle w:val="null3"/>
            </w:pPr>
            <w:r>
              <w:rPr>
                <w:rFonts w:ascii="仿宋_GB2312" w:hAnsi="仿宋_GB2312" w:cs="仿宋_GB2312" w:eastAsia="仿宋_GB2312"/>
              </w:rPr>
              <w:t>（2）进度控制：在工程实施过程中，监理工程师严格按照招标文件、合同、施工进度计划的要求，对施工进度进行跟进，确保整体施工有序进行。确保工程开、竣工时间进度计划按时完成。</w:t>
            </w:r>
          </w:p>
          <w:p>
            <w:pPr>
              <w:pStyle w:val="null3"/>
            </w:pPr>
            <w:r>
              <w:rPr>
                <w:rFonts w:ascii="仿宋_GB2312" w:hAnsi="仿宋_GB2312" w:cs="仿宋_GB2312" w:eastAsia="仿宋_GB2312"/>
              </w:rPr>
              <w:t>（3）安全目标：不发生人身安全事故；不发生较大机械设备损坏事故；不发生较大火灾事故；不发生负主要责任的较大交通事故；不发生因工程项目建设而造成的电网停电事故,不发生重大环境污染事故。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pPr>
            <w:r>
              <w:rPr>
                <w:rFonts w:ascii="仿宋_GB2312" w:hAnsi="仿宋_GB2312" w:cs="仿宋_GB2312" w:eastAsia="仿宋_GB2312"/>
              </w:rPr>
              <w:t>（4）监理人员名单组成：要求项目至少有一名总监理工程师及两名监理人员全程跟进，其余人员可根据施工进度派驻合理人数，所有参与监理人员须持证上岗，项目实施过程中，不得更换监理人员。</w:t>
            </w:r>
          </w:p>
          <w:p>
            <w:pPr>
              <w:pStyle w:val="null3"/>
            </w:pPr>
            <w:r>
              <w:rPr>
                <w:rFonts w:ascii="仿宋_GB2312" w:hAnsi="仿宋_GB2312" w:cs="仿宋_GB2312" w:eastAsia="仿宋_GB2312"/>
              </w:rPr>
              <w:t>（5）所有程序必须符合国家相关监理规定和国家工程质量验收合格标准。</w:t>
            </w:r>
          </w:p>
          <w:p>
            <w:pPr>
              <w:pStyle w:val="null3"/>
            </w:pPr>
            <w:r>
              <w:rPr>
                <w:rFonts w:ascii="仿宋_GB2312" w:hAnsi="仿宋_GB2312" w:cs="仿宋_GB2312" w:eastAsia="仿宋_GB2312"/>
              </w:rPr>
              <w:t>5.技术标准：</w:t>
            </w:r>
          </w:p>
          <w:p>
            <w:pPr>
              <w:pStyle w:val="null3"/>
            </w:pPr>
            <w:r>
              <w:rPr>
                <w:rFonts w:ascii="仿宋_GB2312" w:hAnsi="仿宋_GB2312" w:cs="仿宋_GB2312" w:eastAsia="仿宋_GB2312"/>
              </w:rPr>
              <w:t>工程监理标准应执行国家最新频布的《建设工程监理规范》及省、市或行业的相关规定。工程质量要求应达到国家质量检验与评定标准合格质量等级，具体以采购人与供应商签订的合同为准</w:t>
            </w:r>
          </w:p>
          <w:p>
            <w:pPr>
              <w:pStyle w:val="null3"/>
            </w:pPr>
            <w:r>
              <w:rPr>
                <w:rFonts w:ascii="仿宋_GB2312" w:hAnsi="仿宋_GB2312" w:cs="仿宋_GB2312" w:eastAsia="仿宋_GB2312"/>
              </w:rPr>
              <w:t>6、监理服务周期要求：本次计划对县城博望片区地下排水管道更新改造项目监理进行采购，服务单位需确保工程质量、进度和投资可控，服务期限180日历天。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项目监理机构人员应专业配套齐全、年龄结构合理、人员资格满足建设工程监理合同约定和现场监理工作需要。要求项目至少有一名总监理工程师及两名监理人员全程跟进。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完成项目工程量的70%后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项目总监理</w:t>
            </w:r>
          </w:p>
        </w:tc>
        <w:tc>
          <w:tcPr>
            <w:tcW w:type="dxa" w:w="3322"/>
          </w:tcPr>
          <w:p>
            <w:pPr>
              <w:pStyle w:val="null3"/>
            </w:pPr>
            <w:r>
              <w:rPr>
                <w:rFonts w:ascii="仿宋_GB2312" w:hAnsi="仿宋_GB2312" w:cs="仿宋_GB2312" w:eastAsia="仿宋_GB2312"/>
              </w:rPr>
              <w:t>拟派总监理工程师须具备【市政公用工程注册监理工程师】执业资格，在本单位注册，且未担任其他在建工程项目的总监理工程师。(材料应清晰可辨并进行电子签章)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业绩.docx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1、完整性：内容须全面，对评审内容中的各项要求详细描述；2、可实施性：切合本项目时间情况，实施步骤清晰、合理； 3、针对性：内容能够紧扣项目实际情况，科学合理。 三、赋分标准（满分54分） 每满足一个评审标准得1.5分，满分4.5分；评审内容每存在一项缺陷扣0.5分（缺陷指评审内容不齐全、存在有不合理处、有明显错误、描述过于简单、与项目特点不匹配、凭空编造、逻辑漏洞、出现常识性错误或不适用本项目特性等）（12项内容评审标准相同）。未提供此项不得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评审内容每存在一项缺陷扣0.5分（缺陷指评审内容不齐全、存在有不合理处、有明显错误、描述过于简单、与项目特点不匹配、凭空编造、逻辑漏洞、出现常识性错误或不适用本项目特性等）（2项内容评审标准相同）。未提供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供应商提供（2023年4月至今)已完成类似项目业绩，每提供1个类似业绩得1分，最多得3分，未提供不得分(注：业绩证明材料为合同或中标(成交)通知书)，以上材料提供齐全为有效业绩，无效业绩不得分。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2分，满分6分；评审内容每存在一项缺陷扣0.5分（缺陷指评审内容不齐全、存在有不合理处、有明显错误、描述过于简单、与项目特点不匹配、凭空编造、逻辑漏洞、出现常识性错误或不适用本项目特性等）（3项内容评审标准相同）。未提供此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总监理工程师具备工程类中级及以上职称得3分，其他不得分。（注:响应文件内附技术职称证复印件）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详见附件：拟签订的采购合同_20260421155156.docx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