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D911C">
      <w:pPr>
        <w:numPr>
          <w:ilvl w:val="0"/>
          <w:numId w:val="0"/>
        </w:numPr>
        <w:shd w:val="clear"/>
        <w:spacing w:before="156" w:beforeLines="50" w:line="360" w:lineRule="auto"/>
        <w:jc w:val="center"/>
        <w:outlineLvl w:val="0"/>
        <w:rPr>
          <w:rFonts w:hint="eastAsia" w:ascii="黑体" w:hAnsi="黑体" w:eastAsia="黑体" w:cs="黑体"/>
          <w:b/>
          <w:bCs/>
          <w:color w:val="auto"/>
          <w:sz w:val="32"/>
          <w:szCs w:val="32"/>
          <w:highlight w:val="none"/>
        </w:rPr>
      </w:pPr>
      <w:bookmarkStart w:id="0" w:name="_Toc4496"/>
      <w:r>
        <w:rPr>
          <w:rFonts w:hint="eastAsia" w:ascii="黑体" w:hAnsi="黑体" w:eastAsia="黑体" w:cs="黑体"/>
          <w:b/>
          <w:bCs/>
          <w:color w:val="auto"/>
          <w:sz w:val="32"/>
          <w:szCs w:val="32"/>
          <w:highlight w:val="none"/>
        </w:rPr>
        <w:t>拟签订采购合同文本</w:t>
      </w:r>
      <w:bookmarkEnd w:id="0"/>
    </w:p>
    <w:p w14:paraId="55E49FC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（注：本合同作为合同的基本格式，甲方有权在签订合同时对合同的相关条款及内容作进一步细化和修改）</w:t>
      </w:r>
    </w:p>
    <w:p w14:paraId="7637397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 xml:space="preserve">合同编号： </w:t>
      </w:r>
    </w:p>
    <w:p w14:paraId="3B815D3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 xml:space="preserve">签订地点： </w:t>
      </w:r>
    </w:p>
    <w:p w14:paraId="583D06BC">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签订时间：</w:t>
      </w:r>
    </w:p>
    <w:p w14:paraId="49374E0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采购人（甲方）：</w:t>
      </w:r>
    </w:p>
    <w:p w14:paraId="3BA9CBA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供应商（乙方）：</w:t>
      </w:r>
    </w:p>
    <w:p w14:paraId="0F22B4F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根据《中华人民共和国政府采购法》及实施条例、《中华人民共和国民法典》和</w:t>
      </w:r>
      <w:r>
        <w:rPr>
          <w:rFonts w:hint="eastAsia" w:ascii="仿宋" w:hAnsi="仿宋" w:eastAsia="仿宋" w:cs="仿宋"/>
          <w:bCs/>
          <w:sz w:val="22"/>
          <w:szCs w:val="22"/>
          <w:u w:val="single"/>
          <w:lang w:eastAsia="zh-CN"/>
        </w:rPr>
        <w:t>城固县2026年度食品抽样第三方检测服务（第</w:t>
      </w:r>
      <w:r>
        <w:rPr>
          <w:rFonts w:hint="eastAsia" w:ascii="仿宋" w:hAnsi="仿宋" w:eastAsia="仿宋" w:cs="仿宋"/>
          <w:bCs/>
          <w:sz w:val="22"/>
          <w:szCs w:val="22"/>
          <w:u w:val="single"/>
          <w:lang w:val="en-US" w:eastAsia="zh-CN"/>
        </w:rPr>
        <w:t xml:space="preserve">   </w:t>
      </w:r>
      <w:r>
        <w:rPr>
          <w:rFonts w:hint="eastAsia" w:ascii="仿宋" w:hAnsi="仿宋" w:eastAsia="仿宋" w:cs="仿宋"/>
          <w:bCs/>
          <w:sz w:val="22"/>
          <w:szCs w:val="22"/>
          <w:u w:val="single"/>
          <w:lang w:eastAsia="zh-CN"/>
        </w:rPr>
        <w:t>包）</w:t>
      </w:r>
      <w:r>
        <w:rPr>
          <w:rFonts w:hint="eastAsia" w:ascii="仿宋" w:hAnsi="仿宋" w:eastAsia="仿宋" w:cs="仿宋"/>
          <w:bCs/>
          <w:sz w:val="22"/>
          <w:szCs w:val="22"/>
        </w:rPr>
        <w:t>（采购项目编号：</w:t>
      </w:r>
      <w:r>
        <w:rPr>
          <w:rFonts w:hint="eastAsia" w:ascii="仿宋" w:hAnsi="仿宋" w:eastAsia="仿宋" w:cs="仿宋"/>
          <w:bCs/>
          <w:sz w:val="22"/>
          <w:szCs w:val="22"/>
          <w:u w:val="single"/>
          <w:lang w:eastAsia="zh-CN"/>
        </w:rPr>
        <w:t>HZ-J2026010C</w:t>
      </w:r>
      <w:r>
        <w:rPr>
          <w:rFonts w:hint="eastAsia" w:ascii="仿宋" w:hAnsi="仿宋" w:eastAsia="仿宋" w:cs="仿宋"/>
          <w:bCs/>
          <w:sz w:val="22"/>
          <w:szCs w:val="22"/>
        </w:rPr>
        <w:t>）的竞争性磋商文件、竞争性磋商响应文件等有关规定，为确保甲方采购项目的顺利实施，甲、乙双方在平等自愿原则下签订本合同，并共同遵守如下条款：</w:t>
      </w:r>
    </w:p>
    <w:p w14:paraId="7A25E57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第一条 项目基本情况</w:t>
      </w:r>
    </w:p>
    <w:p w14:paraId="10661B4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第二条 合同期限</w:t>
      </w:r>
    </w:p>
    <w:p w14:paraId="468B34F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1" w:name="_Toc212019594"/>
      <w:bookmarkStart w:id="2" w:name="_Toc232492928"/>
      <w:bookmarkStart w:id="3" w:name="_Toc225244852"/>
      <w:bookmarkStart w:id="4" w:name="_Toc185395249"/>
      <w:bookmarkStart w:id="5" w:name="_Toc211854449"/>
      <w:bookmarkStart w:id="6" w:name="_Toc238984975"/>
      <w:bookmarkStart w:id="7" w:name="_Toc225654644"/>
      <w:bookmarkStart w:id="8" w:name="_Toc241833903"/>
      <w:bookmarkStart w:id="9" w:name="_Toc239568418"/>
      <w:bookmarkStart w:id="10" w:name="_Toc211911348"/>
      <w:bookmarkStart w:id="11" w:name="_Toc239233914"/>
      <w:bookmarkStart w:id="12" w:name="_Toc251768862"/>
      <w:bookmarkStart w:id="13" w:name="_Toc282696226"/>
      <w:bookmarkStart w:id="14" w:name="_Toc286993786"/>
      <w:bookmarkStart w:id="15" w:name="_Toc283019214"/>
      <w:bookmarkStart w:id="16" w:name="_Toc247334841"/>
      <w:bookmarkStart w:id="17" w:name="_Toc237145406"/>
      <w:bookmarkStart w:id="18" w:name="_Toc225670751"/>
      <w:r>
        <w:rPr>
          <w:rFonts w:hint="eastAsia" w:ascii="仿宋" w:hAnsi="仿宋" w:eastAsia="仿宋" w:cs="仿宋"/>
          <w:bCs/>
          <w:sz w:val="22"/>
          <w:szCs w:val="22"/>
        </w:rPr>
        <w:t>第三条 服务内容与质量标准</w:t>
      </w:r>
    </w:p>
    <w:p w14:paraId="1D8D570C">
      <w:pPr>
        <w:shd w:val="clear"/>
        <w:snapToGrid w:val="0"/>
        <w:spacing w:line="360" w:lineRule="auto"/>
        <w:ind w:firstLine="482"/>
        <w:rPr>
          <w:rFonts w:ascii="仿宋" w:hAnsi="仿宋" w:eastAsia="仿宋" w:cs="仿宋"/>
          <w:bCs/>
          <w:sz w:val="22"/>
          <w:szCs w:val="22"/>
        </w:rPr>
      </w:pPr>
      <w:r>
        <w:rPr>
          <w:rFonts w:hint="eastAsia" w:ascii="仿宋" w:hAnsi="仿宋" w:eastAsia="仿宋" w:cs="仿宋"/>
          <w:bCs/>
          <w:sz w:val="22"/>
          <w:szCs w:val="22"/>
        </w:rPr>
        <w:t>本合同所提供的服务项目内容：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（与响应文件中服务及设备明细表一致）。</w:t>
      </w:r>
    </w:p>
    <w:p w14:paraId="33AEF83B">
      <w:pPr>
        <w:shd w:val="clear"/>
        <w:snapToGrid w:val="0"/>
        <w:spacing w:line="360" w:lineRule="auto"/>
        <w:ind w:firstLine="482"/>
        <w:rPr>
          <w:rFonts w:ascii="仿宋" w:hAnsi="仿宋" w:eastAsia="仿宋" w:cs="仿宋"/>
          <w:bCs/>
          <w:sz w:val="22"/>
          <w:szCs w:val="22"/>
        </w:rPr>
      </w:pPr>
      <w:r>
        <w:rPr>
          <w:rFonts w:hint="eastAsia" w:ascii="仿宋" w:hAnsi="仿宋" w:eastAsia="仿宋" w:cs="仿宋"/>
          <w:bCs/>
          <w:sz w:val="22"/>
          <w:szCs w:val="22"/>
        </w:rPr>
        <w:t>1、</w:t>
      </w:r>
      <w:r>
        <w:rPr>
          <w:rFonts w:hint="eastAsia" w:ascii="仿宋" w:hAnsi="仿宋" w:eastAsia="仿宋" w:cs="仿宋"/>
          <w:bCs/>
          <w:sz w:val="22"/>
          <w:szCs w:val="22"/>
          <w:lang w:eastAsia="zh-CN"/>
        </w:rPr>
        <w:t>服务期限</w:t>
      </w:r>
      <w:r>
        <w:rPr>
          <w:rFonts w:hint="eastAsia" w:ascii="仿宋" w:hAnsi="仿宋" w:eastAsia="仿宋" w:cs="仿宋"/>
          <w:bCs/>
          <w:sz w:val="22"/>
          <w:szCs w:val="22"/>
        </w:rPr>
        <w:t>：</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34584F8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w:t>
      </w:r>
    </w:p>
    <w:p w14:paraId="021394B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第四条 服务费用</w:t>
      </w:r>
    </w:p>
    <w:p w14:paraId="6062E62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1、服务总费用为人民币大写：</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元， RMB¥</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 xml:space="preserve"> 。</w:t>
      </w:r>
    </w:p>
    <w:p w14:paraId="2E1B116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2、本项目服务费用由以下组成：</w:t>
      </w:r>
    </w:p>
    <w:p w14:paraId="2DD9D1F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（1）XX万元；</w:t>
      </w:r>
    </w:p>
    <w:p w14:paraId="711DBA8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（2）XX万元；</w:t>
      </w:r>
    </w:p>
    <w:p w14:paraId="6DB3802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w:t>
      </w:r>
    </w:p>
    <w:p w14:paraId="78071190">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3、本合同执行期间服务总费用不变，甲方无须另向乙方支付本合同规定之外的其他任何费用。</w:t>
      </w:r>
    </w:p>
    <w:p w14:paraId="73B67D0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第五条  服务费支付方式</w:t>
      </w:r>
    </w:p>
    <w:p w14:paraId="0100B11E">
      <w:pPr>
        <w:keepNext w:val="0"/>
        <w:keepLines w:val="0"/>
        <w:pageBreakBefore w:val="0"/>
        <w:shd w:val="clear"/>
        <w:kinsoku/>
        <w:wordWrap/>
        <w:overflowPunct/>
        <w:topLinePunct w:val="0"/>
        <w:autoSpaceDE/>
        <w:autoSpaceDN/>
        <w:bidi w:val="0"/>
        <w:adjustRightInd w:val="0"/>
        <w:snapToGrid w:val="0"/>
        <w:spacing w:line="360" w:lineRule="auto"/>
        <w:ind w:left="0" w:firstLine="440" w:firstLineChars="200"/>
        <w:textAlignment w:val="auto"/>
        <w:rPr>
          <w:rFonts w:hint="eastAsia" w:ascii="仿宋" w:hAnsi="仿宋" w:eastAsia="仿宋" w:cs="仿宋"/>
          <w:i w:val="0"/>
          <w:iCs w:val="0"/>
          <w:caps w:val="0"/>
          <w:color w:val="auto"/>
          <w:spacing w:val="0"/>
          <w:sz w:val="22"/>
          <w:szCs w:val="22"/>
          <w:shd w:val="clear" w:fill="FFFFFF"/>
          <w:lang w:val="en-US" w:eastAsia="zh-CN"/>
        </w:rPr>
      </w:pPr>
      <w:r>
        <w:rPr>
          <w:rFonts w:hint="eastAsia" w:ascii="仿宋" w:hAnsi="仿宋" w:eastAsia="仿宋" w:cs="仿宋"/>
          <w:color w:val="auto"/>
          <w:sz w:val="22"/>
          <w:szCs w:val="22"/>
          <w:highlight w:val="none"/>
          <w:lang w:eastAsia="zh-CN"/>
        </w:rPr>
        <w:t>项目结束后 ，达到付款条件起 50 日内，支付合同总金额的 100.00%。（</w:t>
      </w:r>
      <w:r>
        <w:rPr>
          <w:rFonts w:hint="eastAsia" w:ascii="仿宋" w:hAnsi="仿宋" w:eastAsia="仿宋" w:cs="仿宋"/>
          <w:color w:val="auto"/>
          <w:sz w:val="22"/>
          <w:szCs w:val="22"/>
          <w:highlight w:val="none"/>
        </w:rPr>
        <w:t>费用计算方法：按照有效期内实际发生检测次数、检测的项目分类统计，以供应商磋商时提供的各项目</w:t>
      </w:r>
      <w:r>
        <w:rPr>
          <w:rFonts w:hint="eastAsia" w:ascii="仿宋" w:hAnsi="仿宋" w:eastAsia="仿宋" w:cs="仿宋"/>
          <w:color w:val="auto"/>
          <w:sz w:val="22"/>
          <w:szCs w:val="22"/>
          <w:highlight w:val="none"/>
          <w:lang w:val="en-US" w:eastAsia="zh-CN"/>
        </w:rPr>
        <w:t>单批次报价</w:t>
      </w:r>
      <w:r>
        <w:rPr>
          <w:rFonts w:hint="eastAsia" w:ascii="仿宋" w:hAnsi="仿宋" w:eastAsia="仿宋" w:cs="仿宋"/>
          <w:color w:val="auto"/>
          <w:sz w:val="22"/>
          <w:szCs w:val="22"/>
          <w:highlight w:val="none"/>
        </w:rPr>
        <w:t>，计算总价</w:t>
      </w:r>
      <w:r>
        <w:rPr>
          <w:rFonts w:hint="eastAsia" w:ascii="仿宋" w:hAnsi="仿宋" w:eastAsia="仿宋" w:cs="仿宋"/>
          <w:color w:val="auto"/>
          <w:sz w:val="22"/>
          <w:szCs w:val="22"/>
          <w:highlight w:val="none"/>
          <w:lang w:eastAsia="zh-CN"/>
        </w:rPr>
        <w:t>。）</w:t>
      </w:r>
    </w:p>
    <w:p w14:paraId="1C870ED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第六条   知识产权</w:t>
      </w:r>
    </w:p>
    <w:p w14:paraId="3AEF591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乙方应保证所提供的服务或其任何一部分均不会侵犯任何第三方的专利权、商标权或著作权。</w:t>
      </w:r>
    </w:p>
    <w:p w14:paraId="7ABB4DC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第七条  无产权瑕疵条款</w:t>
      </w:r>
    </w:p>
    <w:p w14:paraId="2C89FC44">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乙方保证所提供的服务的所有权完全属于乙方且无任何抵押、查封等产权瑕疵。如有产权瑕疵的，视为乙方违约。乙方应负担由此而产生的一切损失。</w:t>
      </w:r>
    </w:p>
    <w:p w14:paraId="1A38F9E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第八条  甲方的权利和义务</w:t>
      </w:r>
    </w:p>
    <w:p w14:paraId="25356CD5">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4B7C564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2、甲方有权依据双方签订的考评办法对乙方提供的服务进行定期考评。</w:t>
      </w:r>
    </w:p>
    <w:p w14:paraId="10E05B25">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3、负责检查监督乙方管理工作的实施及制度的执行情况。</w:t>
      </w:r>
    </w:p>
    <w:p w14:paraId="1AF08FA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4、根据本合同规定，按时向乙方支付应付服务费用。</w:t>
      </w:r>
    </w:p>
    <w:p w14:paraId="0CB72E3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5、国家法律、法规所规定由甲方承担的其它责任。</w:t>
      </w:r>
    </w:p>
    <w:p w14:paraId="7CD0377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第九条  乙方的权利和义务</w:t>
      </w:r>
    </w:p>
    <w:p w14:paraId="33F27E2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1、对本合同规定的委托服务范围内的项目享有管理权及服务义务。</w:t>
      </w:r>
    </w:p>
    <w:p w14:paraId="7688D64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2、根据本合同的规定向甲方收取相关服务费用，并有权在本项目管理范围内管理及合理使用。</w:t>
      </w:r>
    </w:p>
    <w:p w14:paraId="7E4A0D1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3、及时向甲方通告本项目服务范围内有关服务的重大事项，及时配合处理投诉。</w:t>
      </w:r>
    </w:p>
    <w:p w14:paraId="33C928F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4、接受项目行业管理部门及政府有关部门的指导，接受甲方的监督。</w:t>
      </w:r>
    </w:p>
    <w:p w14:paraId="303CA53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5、国家法律、法规所规定由乙方承担的其它责任。</w:t>
      </w:r>
    </w:p>
    <w:p w14:paraId="0F08C1D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第十条  违约责任</w:t>
      </w:r>
    </w:p>
    <w:p w14:paraId="5668087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1、甲乙双方必须遵守本合同并执行合同中的各项规定，保证本合同的正常履行。</w:t>
      </w:r>
    </w:p>
    <w:p w14:paraId="151A1DE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0649E1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第十一条  不可抗力事件处理</w:t>
      </w:r>
    </w:p>
    <w:p w14:paraId="4F17176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1、在合同有效期内，任何一方因不可抗力事件导致不能履行合同，则合同履行期可延长，其延长期与不可抗力影响期相同。</w:t>
      </w:r>
    </w:p>
    <w:p w14:paraId="2F907634">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2、不可抗力事件发生后，应立即通知对方，并寄送有关权威机构出具的证明。</w:t>
      </w:r>
    </w:p>
    <w:p w14:paraId="6429F48D">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3、不可抗力事件延续XX天以上，双方应通过友好协商，确定是否继续履行合同。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8FBF37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19" w:name="_Toc251768867"/>
      <w:bookmarkStart w:id="20" w:name="_Toc237145411"/>
      <w:bookmarkStart w:id="21" w:name="_Toc225654649"/>
      <w:bookmarkStart w:id="22" w:name="_Toc238984980"/>
      <w:bookmarkStart w:id="23" w:name="_Toc211854454"/>
      <w:bookmarkStart w:id="24" w:name="_Toc185395254"/>
      <w:bookmarkStart w:id="25" w:name="_Toc239568423"/>
      <w:bookmarkStart w:id="26" w:name="_Toc232492933"/>
      <w:bookmarkStart w:id="27" w:name="_Toc247334846"/>
      <w:bookmarkStart w:id="28" w:name="_Toc286993792"/>
      <w:bookmarkStart w:id="29" w:name="_Toc239233919"/>
      <w:bookmarkStart w:id="30" w:name="_Toc211911353"/>
      <w:bookmarkStart w:id="31" w:name="_Toc225244857"/>
      <w:bookmarkStart w:id="32" w:name="_Toc212019599"/>
      <w:bookmarkStart w:id="33" w:name="_Toc225670756"/>
      <w:bookmarkStart w:id="34" w:name="_Toc241833908"/>
      <w:r>
        <w:rPr>
          <w:rFonts w:hint="eastAsia" w:ascii="仿宋" w:hAnsi="仿宋" w:eastAsia="仿宋" w:cs="仿宋"/>
          <w:bCs/>
          <w:sz w:val="22"/>
          <w:szCs w:val="22"/>
        </w:rPr>
        <w:t>第十二条  合同的变更和终止</w:t>
      </w:r>
    </w:p>
    <w:p w14:paraId="0CDE26E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除《中华人民共和国政府采购法》第49条、第50条第二款规定的情形外，本合同一经签订，甲乙双方不得擅自变更、中止或终止合同。</w:t>
      </w:r>
    </w:p>
    <w:p w14:paraId="31DC4D9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第十三条  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0E59AD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1、在执行本合同中发生的或与本合同有关的争端，双方应通过友好协商解决，经协商在XX天内不能达成协议时，则采取以下第____种方式解决争议：</w:t>
      </w:r>
    </w:p>
    <w:p w14:paraId="399B9B46">
      <w:pPr>
        <w:shd w:val="clear"/>
        <w:autoSpaceDE w:val="0"/>
        <w:autoSpaceDN w:val="0"/>
        <w:adjustRightInd w:val="0"/>
        <w:snapToGrid w:val="0"/>
        <w:spacing w:line="360" w:lineRule="auto"/>
        <w:ind w:firstLine="220" w:firstLineChars="100"/>
        <w:jc w:val="left"/>
        <w:outlineLvl w:val="0"/>
        <w:rPr>
          <w:rFonts w:ascii="仿宋" w:hAnsi="仿宋" w:eastAsia="仿宋" w:cs="仿宋"/>
          <w:bCs/>
          <w:sz w:val="22"/>
          <w:szCs w:val="22"/>
        </w:rPr>
      </w:pPr>
      <w:r>
        <w:rPr>
          <w:rFonts w:hint="eastAsia" w:ascii="仿宋" w:hAnsi="仿宋" w:eastAsia="仿宋" w:cs="仿宋"/>
          <w:bCs/>
          <w:sz w:val="22"/>
          <w:szCs w:val="22"/>
        </w:rPr>
        <w:t>（1）向甲方所在地有管辖权的人民法院提起诉讼；</w:t>
      </w:r>
    </w:p>
    <w:p w14:paraId="794A048A">
      <w:pPr>
        <w:shd w:val="clear"/>
        <w:autoSpaceDE w:val="0"/>
        <w:autoSpaceDN w:val="0"/>
        <w:adjustRightInd w:val="0"/>
        <w:snapToGrid w:val="0"/>
        <w:spacing w:line="360" w:lineRule="auto"/>
        <w:ind w:firstLine="220" w:firstLineChars="100"/>
        <w:jc w:val="left"/>
        <w:outlineLvl w:val="0"/>
        <w:rPr>
          <w:rFonts w:ascii="仿宋" w:hAnsi="仿宋" w:eastAsia="仿宋" w:cs="仿宋"/>
          <w:bCs/>
          <w:sz w:val="22"/>
          <w:szCs w:val="22"/>
        </w:rPr>
      </w:pPr>
      <w:r>
        <w:rPr>
          <w:rFonts w:hint="eastAsia" w:ascii="仿宋" w:hAnsi="仿宋" w:eastAsia="仿宋" w:cs="仿宋"/>
          <w:bCs/>
          <w:sz w:val="22"/>
          <w:szCs w:val="22"/>
        </w:rPr>
        <w:t>（2）向____________仲裁委员会按其仲裁规则申请仲裁。</w:t>
      </w:r>
    </w:p>
    <w:p w14:paraId="57C322E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2、在仲裁期间，本合同应继续履行。</w:t>
      </w:r>
    </w:p>
    <w:p w14:paraId="1664C4A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35" w:name="_Toc211911354"/>
      <w:bookmarkStart w:id="36" w:name="_Toc239568424"/>
      <w:bookmarkStart w:id="37" w:name="_Toc238984981"/>
      <w:bookmarkStart w:id="38" w:name="_Toc225670757"/>
      <w:bookmarkStart w:id="39" w:name="_Toc237145412"/>
      <w:bookmarkStart w:id="40" w:name="_Toc185395255"/>
      <w:bookmarkStart w:id="41" w:name="_Toc251768868"/>
      <w:bookmarkStart w:id="42" w:name="_Toc225244858"/>
      <w:bookmarkStart w:id="43" w:name="_Toc211854455"/>
      <w:bookmarkStart w:id="44" w:name="_Toc212019600"/>
      <w:bookmarkStart w:id="45" w:name="_Toc286993793"/>
      <w:bookmarkStart w:id="46" w:name="_Toc282696231"/>
      <w:bookmarkStart w:id="47" w:name="_Toc232492934"/>
      <w:bookmarkStart w:id="48" w:name="_Toc241833909"/>
      <w:bookmarkStart w:id="49" w:name="_Toc283019219"/>
      <w:bookmarkStart w:id="50" w:name="_Toc247334847"/>
      <w:bookmarkStart w:id="51" w:name="_Toc225654650"/>
      <w:bookmarkStart w:id="52" w:name="_Toc239233920"/>
      <w:r>
        <w:rPr>
          <w:rFonts w:hint="eastAsia" w:ascii="仿宋" w:hAnsi="仿宋" w:eastAsia="仿宋" w:cs="仿宋"/>
          <w:bCs/>
          <w:sz w:val="22"/>
          <w:szCs w:val="22"/>
        </w:rPr>
        <w:t>第十四条  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仿宋" w:hAnsi="仿宋" w:eastAsia="仿宋" w:cs="仿宋"/>
          <w:bCs/>
          <w:sz w:val="22"/>
          <w:szCs w:val="22"/>
        </w:rPr>
        <w:t>生效及其他</w:t>
      </w:r>
    </w:p>
    <w:p w14:paraId="3C778F0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1、合同经双方法定代表人或授权委托代理人签字并加盖单位公章后生效。</w:t>
      </w:r>
    </w:p>
    <w:p w14:paraId="728F98E0">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2、合同执行中涉及采购资金和采购内容修改或补充的，须经政府采购监管部门审批，并签书面补充协议报政府采购监督管理部门备案，方可作为主合同不可分割的一部分。</w:t>
      </w:r>
    </w:p>
    <w:p w14:paraId="28912D9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3、本合同一式XX份，自双方签章之日起起效。甲方XX份，乙方XX份，政府采购代理机构XX份，同级财政部门备案XX份，具有同等法律效力。</w:t>
      </w:r>
    </w:p>
    <w:p w14:paraId="3664589C">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第十五条  附件</w:t>
      </w:r>
    </w:p>
    <w:p w14:paraId="6F25EE3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1、项目竞争性磋商文件</w:t>
      </w:r>
    </w:p>
    <w:p w14:paraId="15D0D6C7">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2、项目修改澄清文件</w:t>
      </w:r>
    </w:p>
    <w:p w14:paraId="6ACDC73D">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3、项目响应文件</w:t>
      </w:r>
    </w:p>
    <w:p w14:paraId="6C8C87D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4、成交通知书</w:t>
      </w:r>
    </w:p>
    <w:p w14:paraId="2E9D314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5、其他</w:t>
      </w:r>
      <w:bookmarkStart w:id="53" w:name="_GoBack"/>
      <w:bookmarkEnd w:id="53"/>
    </w:p>
    <w:p w14:paraId="09408DC0">
      <w:pPr>
        <w:pStyle w:val="5"/>
        <w:shd w:val="clear"/>
        <w:snapToGrid w:val="0"/>
        <w:spacing w:after="0" w:line="360" w:lineRule="auto"/>
        <w:ind w:left="0" w:leftChars="0" w:firstLine="0" w:firstLineChars="0"/>
        <w:rPr>
          <w:rFonts w:ascii="仿宋" w:hAnsi="仿宋" w:eastAsia="仿宋" w:cs="仿宋"/>
          <w:bCs/>
          <w:sz w:val="22"/>
          <w:szCs w:val="22"/>
        </w:rPr>
      </w:pPr>
    </w:p>
    <w:p w14:paraId="719ECB07">
      <w:pPr>
        <w:shd w:val="clear"/>
        <w:rPr>
          <w:rFonts w:ascii="仿宋" w:hAnsi="仿宋" w:eastAsia="仿宋" w:cs="仿宋"/>
          <w:bCs/>
          <w:sz w:val="22"/>
          <w:szCs w:val="22"/>
        </w:rPr>
      </w:pPr>
    </w:p>
    <w:p w14:paraId="6CE1BA14">
      <w:pPr>
        <w:shd w:val="clear"/>
        <w:rPr>
          <w:rFonts w:ascii="仿宋" w:hAnsi="仿宋" w:eastAsia="仿宋" w:cs="仿宋"/>
          <w:bCs/>
          <w:sz w:val="22"/>
          <w:szCs w:val="22"/>
        </w:rPr>
      </w:pPr>
    </w:p>
    <w:p w14:paraId="49579591">
      <w:pPr>
        <w:shd w:val="clear"/>
        <w:rPr>
          <w:rFonts w:ascii="仿宋" w:hAnsi="仿宋" w:eastAsia="仿宋" w:cs="仿宋"/>
          <w:bCs/>
          <w:sz w:val="22"/>
          <w:szCs w:val="22"/>
        </w:rPr>
      </w:pPr>
    </w:p>
    <w:p w14:paraId="67323F26">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 xml:space="preserve">甲方：   （盖章）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乙方：   （盖章）</w:t>
      </w:r>
    </w:p>
    <w:p w14:paraId="336E3BB7">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法定代表人（授权代表）：              法定代表人（授权代表）：</w:t>
      </w:r>
    </w:p>
    <w:p w14:paraId="2E52E759">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地    址：                            地    址：</w:t>
      </w:r>
    </w:p>
    <w:p w14:paraId="3F175665">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开户银行：                            开户银行：</w:t>
      </w:r>
    </w:p>
    <w:p w14:paraId="2E7FB771">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账号：                                账号：</w:t>
      </w:r>
    </w:p>
    <w:p w14:paraId="76028AC1">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电    话：                            电    话：</w:t>
      </w:r>
    </w:p>
    <w:p w14:paraId="50274180">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传    真：                            传    真：</w:t>
      </w:r>
    </w:p>
    <w:p w14:paraId="7683C20E">
      <w:pPr>
        <w:shd w:val="clear"/>
        <w:autoSpaceDE w:val="0"/>
        <w:autoSpaceDN w:val="0"/>
        <w:adjustRightInd w:val="0"/>
        <w:snapToGrid w:val="0"/>
        <w:spacing w:line="360" w:lineRule="auto"/>
        <w:jc w:val="left"/>
        <w:outlineLvl w:val="0"/>
        <w:rPr>
          <w:rFonts w:ascii="黑体" w:hAnsi="黑体" w:eastAsia="黑体" w:cs="黑体"/>
          <w:b/>
          <w:bCs/>
          <w:sz w:val="36"/>
          <w:szCs w:val="36"/>
        </w:rPr>
      </w:pPr>
      <w:r>
        <w:rPr>
          <w:rFonts w:hint="eastAsia" w:ascii="仿宋" w:hAnsi="仿宋" w:eastAsia="仿宋" w:cs="仿宋"/>
          <w:bCs/>
          <w:sz w:val="22"/>
          <w:szCs w:val="22"/>
        </w:rPr>
        <w:t xml:space="preserve">签约日期：  年  月  日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签约日期：  年  月  日</w:t>
      </w:r>
    </w:p>
    <w:p w14:paraId="6B9B936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BC01E7"/>
    <w:rsid w:val="4E624E23"/>
    <w:rsid w:val="7381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5">
    <w:name w:val="Body Text First Indent 2"/>
    <w:basedOn w:val="4"/>
    <w:next w:val="1"/>
    <w:qFormat/>
    <w:uiPriority w:val="0"/>
    <w:pPr>
      <w:spacing w:line="240" w:lineRule="auto"/>
      <w:ind w:left="420" w:leftChars="200" w:firstLine="420" w:firstLineChars="200"/>
    </w:pPr>
    <w:rPr>
      <w:rFonts w:asci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1791</Words>
  <Characters>1840</Characters>
  <Lines>0</Lines>
  <Paragraphs>0</Paragraphs>
  <TotalTime>5</TotalTime>
  <ScaleCrop>false</ScaleCrop>
  <LinksUpToDate>false</LinksUpToDate>
  <CharactersWithSpaces>2162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2026-04-07T08:04:00Z</dcterms:created>
  <dc:creator>0002</dc:creator>
  <cp:lastModifiedBy>0002</cp:lastModifiedBy>
  <dcterms:modified xsi:type="dcterms:W3CDTF">2026-04-07T09:59:16Z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64AA0C01E0DB4F93BC3527743658F0C4_12</vt:lpwstr>
  </property>
</Properties>
</file>