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版本号：FXCG-2026-050620260512002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综合楼建设项目工程监理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FXCG-2026-0506</w:t>
      </w:r>
      <w:r>
        <w:br/>
      </w:r>
      <w:r>
        <w:br/>
      </w:r>
      <w:r>
        <w:br/>
      </w:r>
    </w:p>
    <w:p>
      <w:pPr>
        <w:pStyle w:val="null3"/>
        <w:jc w:val="center"/>
        <w:outlineLvl w:val="2"/>
      </w:pPr>
      <w:r>
        <w:rPr>
          <w:rFonts w:ascii="仿宋_GB2312" w:hAnsi="仿宋_GB2312" w:cs="仿宋_GB2312" w:eastAsia="仿宋_GB2312"/>
          <w:sz w:val="28"/>
          <w:b/>
        </w:rPr>
        <w:t>城固县第一中学</w:t>
      </w:r>
    </w:p>
    <w:p>
      <w:pPr>
        <w:pStyle w:val="null3"/>
        <w:jc w:val="center"/>
        <w:outlineLvl w:val="2"/>
      </w:pPr>
      <w:r>
        <w:rPr>
          <w:rFonts w:ascii="仿宋_GB2312" w:hAnsi="仿宋_GB2312" w:cs="仿宋_GB2312" w:eastAsia="仿宋_GB2312"/>
          <w:sz w:val="28"/>
          <w:b/>
        </w:rPr>
        <w:t>陕西方信工程咨询有限公司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陕西方信工程咨询有限公司</w:t>
      </w:r>
      <w:r>
        <w:rPr>
          <w:rFonts w:ascii="仿宋_GB2312" w:hAnsi="仿宋_GB2312" w:cs="仿宋_GB2312" w:eastAsia="仿宋_GB2312"/>
        </w:rPr>
        <w:t>（以下简称“代理机构”）受</w:t>
      </w:r>
      <w:r>
        <w:rPr>
          <w:rFonts w:ascii="仿宋_GB2312" w:hAnsi="仿宋_GB2312" w:cs="仿宋_GB2312" w:eastAsia="仿宋_GB2312"/>
        </w:rPr>
        <w:t>城固县第一中学</w:t>
      </w:r>
      <w:r>
        <w:rPr>
          <w:rFonts w:ascii="仿宋_GB2312" w:hAnsi="仿宋_GB2312" w:cs="仿宋_GB2312" w:eastAsia="仿宋_GB2312"/>
        </w:rPr>
        <w:t>委托，拟对</w:t>
      </w:r>
      <w:r>
        <w:rPr>
          <w:rFonts w:ascii="仿宋_GB2312" w:hAnsi="仿宋_GB2312" w:cs="仿宋_GB2312" w:eastAsia="仿宋_GB2312"/>
        </w:rPr>
        <w:t>综合楼建设项目工程监理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FXCG-2026-0506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综合楼建设项目工程监理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对城固县第一中学综合楼建设项目进行监理，保证工程质量和安全、控制工程投资成本，确保按期完成，达到验收标准。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采购包1（城固县第一中学综合楼建设项目工程监理）：属于专门面向中小企业采购。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 的营业执照（事业法人证）或证明文件或自然人的身份证明。</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3、资质要求：供应商须具备建设行政主管部门颁发的房屋建筑工程监理乙级及以上资质。</w:t>
      </w:r>
    </w:p>
    <w:p>
      <w:pPr>
        <w:pStyle w:val="null3"/>
      </w:pPr>
      <w:r>
        <w:rPr>
          <w:rFonts w:ascii="仿宋_GB2312" w:hAnsi="仿宋_GB2312" w:cs="仿宋_GB2312" w:eastAsia="仿宋_GB2312"/>
        </w:rPr>
        <w:t>4、拟派项目总监：拟派项目总监理工程师具备房屋建筑工程注册监理工程师，且未担任其他在监工程项目；</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陕西省汉中市城固县北环路151号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城固县第一中学经办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13629169817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陕西方信工程咨询有限公司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汉中市汉台区西新街汉水名城36#楼五层东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18891628008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开户名称：陕西方信工程咨询有限公司</w:t>
            </w:r>
          </w:p>
          <w:p>
            <w:pPr>
              <w:pStyle w:val="null3"/>
            </w:pPr>
            <w:r>
              <w:rPr>
                <w:rFonts w:ascii="仿宋_GB2312" w:hAnsi="仿宋_GB2312" w:cs="仿宋_GB2312" w:eastAsia="仿宋_GB2312"/>
              </w:rPr>
              <w:t>开户银行：农业银行汉中西大街支行</w:t>
            </w:r>
          </w:p>
          <w:p>
            <w:pPr>
              <w:pStyle w:val="null3"/>
            </w:pPr>
            <w:r>
              <w:rPr>
                <w:rFonts w:ascii="仿宋_GB2312" w:hAnsi="仿宋_GB2312" w:cs="仿宋_GB2312" w:eastAsia="仿宋_GB2312"/>
              </w:rPr>
              <w:t>银行账号：2660 6401 0400 06601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城固县第一中学</w:t>
      </w:r>
      <w:r>
        <w:rPr>
          <w:rFonts w:ascii="仿宋_GB2312" w:hAnsi="仿宋_GB2312" w:cs="仿宋_GB2312" w:eastAsia="仿宋_GB2312"/>
        </w:rPr>
        <w:t>和</w:t>
      </w:r>
      <w:r>
        <w:rPr>
          <w:rFonts w:ascii="仿宋_GB2312" w:hAnsi="仿宋_GB2312" w:cs="仿宋_GB2312" w:eastAsia="仿宋_GB2312"/>
        </w:rPr>
        <w:t>陕西方信工程咨询有限公司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陕西方信工程咨询有限公司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陕西方信工程咨询有限公司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联系人：杨苗</w:t>
      </w:r>
    </w:p>
    <w:p>
      <w:pPr>
        <w:pStyle w:val="null3"/>
      </w:pPr>
      <w:r>
        <w:rPr>
          <w:rFonts w:ascii="仿宋_GB2312" w:hAnsi="仿宋_GB2312" w:cs="仿宋_GB2312" w:eastAsia="仿宋_GB2312"/>
        </w:rPr>
        <w:t>联系电话：18891628008</w:t>
      </w:r>
    </w:p>
    <w:p>
      <w:pPr>
        <w:pStyle w:val="null3"/>
      </w:pPr>
      <w:r>
        <w:rPr>
          <w:rFonts w:ascii="仿宋_GB2312" w:hAnsi="仿宋_GB2312" w:cs="仿宋_GB2312" w:eastAsia="仿宋_GB2312"/>
        </w:rPr>
        <w:t>地址：汉中市汉台区西新街汉水名城36#楼五层东</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位于城固县第一中学校园内。拆除原有旧建筑（知行楼）原址上新建教学综合楼1栋，6层框架结构，建筑面积9725.16平方米，其：功能室和部室30间、教室31间：建设配套基础设施：道路地面硬化500平方米，绿化栽植450平方米、教学综合楼给排水管网、安防、电力、消防等配套工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城固县第一中学综合楼建设项目工程监理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标的名称：城固县第一中学综合楼建设项目工程监理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一、服务内容：对城固县第一中学综合楼建设项目工程施工阶段、竣工验收阶段及保修阶段全过程的工程监理</w:t>
            </w:r>
            <w:r>
              <w:rPr>
                <w:rFonts w:ascii="仿宋_GB2312" w:hAnsi="仿宋_GB2312" w:cs="仿宋_GB2312" w:eastAsia="仿宋_GB2312"/>
                <w:sz w:val="21"/>
              </w:rPr>
              <w:t>服务，对项目实施过程进行监督、验收阶段监理及竣工验收资料移交的监理等相关工作。</w:t>
            </w:r>
          </w:p>
          <w:p>
            <w:pPr>
              <w:pStyle w:val="null3"/>
              <w:jc w:val="both"/>
            </w:pPr>
            <w:r>
              <w:rPr>
                <w:rFonts w:ascii="仿宋_GB2312" w:hAnsi="仿宋_GB2312" w:cs="仿宋_GB2312" w:eastAsia="仿宋_GB2312"/>
                <w:sz w:val="21"/>
              </w:rPr>
              <w:t>二、监理内容：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1）质量控制：必须严格依照国家有关规定，检查施工单位所施工的项目是否符合预定的质量要求，而且整个监理工作中应强调对工程质量的事前控制、事中监管和事后评估。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2）进度控制：在工程实施过程中，监理工程师严格按照采购文件、合同、施工进度计划的要求，对施工进度进行跟进，确保整体施工有序进行。确保工程开、竣工时间进度计划按时完成。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3）安全目标：不发生人身安全事故；不发生较大机械设备损坏事故；不发生较大火灾事故；不发生负主要责任的较大交通事故；不发生因工程项目建设而造成的电网停电事故,不发生重大环境污染事故。</w:t>
            </w:r>
          </w:p>
          <w:p>
            <w:pPr>
              <w:pStyle w:val="null3"/>
              <w:jc w:val="both"/>
            </w:pPr>
            <w:r>
              <w:rPr>
                <w:rFonts w:ascii="仿宋_GB2312" w:hAnsi="仿宋_GB2312" w:cs="仿宋_GB2312" w:eastAsia="仿宋_GB2312"/>
                <w:sz w:val="21"/>
              </w:rPr>
              <w:t>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4）所有程序必须符合国家相关监理规定和国家工程质量验收合格标准。</w:t>
            </w:r>
          </w:p>
          <w:p>
            <w:pPr>
              <w:pStyle w:val="null3"/>
              <w:jc w:val="both"/>
            </w:pPr>
            <w:r>
              <w:rPr>
                <w:rFonts w:ascii="仿宋_GB2312" w:hAnsi="仿宋_GB2312" w:cs="仿宋_GB2312" w:eastAsia="仿宋_GB2312"/>
                <w:sz w:val="21"/>
              </w:rPr>
              <w:t>三、技术标准：</w:t>
            </w:r>
          </w:p>
          <w:p>
            <w:pPr>
              <w:pStyle w:val="null3"/>
            </w:pPr>
            <w:r>
              <w:rPr>
                <w:rFonts w:ascii="仿宋_GB2312" w:hAnsi="仿宋_GB2312" w:cs="仿宋_GB2312" w:eastAsia="仿宋_GB2312"/>
                <w:sz w:val="21"/>
              </w:rPr>
              <w:t>工程监理标准应执行国家最新频布的《建设工程监理规范》及省、市或行业的相关规定。工程质量要求应达到国家质量检验与评定标准合格质量等级，具体以采购人与供应商签订的合同为准。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工程施工阶段、竣工验收阶段及保修阶段</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城固县第一中学校园内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合同签订并生效并进入服务期后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采购人组织对监理服务项目完成验收并通过后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向代理机构提交纸质版响应文件以便于存档，响应文件正本1份，副本2份，电子版文件2份（以U盘为载体，电子版内容为签字盖章扫描后的PDF版本响应文件）。纸质响应文件均须A4纸打印，分别各自装订成册。线下递交响应文件地点：汉中市汉台区西新街汉水名城36#楼五层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 的营业执照（事业法人证）或证明文件或自然人的身份证明。</w:t>
            </w:r>
          </w:p>
        </w:tc>
        <w:tc>
          <w:tcPr>
            <w:tcW w:type="dxa" w:w="1661"/>
          </w:tcPr>
          <w:p>
            <w:pPr>
              <w:pStyle w:val="null3"/>
            </w:pPr>
            <w:r>
              <w:rPr>
                <w:rFonts w:ascii="仿宋_GB2312" w:hAnsi="仿宋_GB2312" w:cs="仿宋_GB2312" w:eastAsia="仿宋_GB2312"/>
              </w:rPr>
              <w:t>响应文件封面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供应商须具备建设行政主管部门颁发的房屋建筑工程监理乙级及以上资质。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拟派项目总监</w:t>
            </w:r>
          </w:p>
        </w:tc>
        <w:tc>
          <w:tcPr>
            <w:tcW w:type="dxa" w:w="3322"/>
          </w:tcPr>
          <w:p>
            <w:pPr>
              <w:pStyle w:val="null3"/>
            </w:pPr>
            <w:r>
              <w:rPr>
                <w:rFonts w:ascii="仿宋_GB2312" w:hAnsi="仿宋_GB2312" w:cs="仿宋_GB2312" w:eastAsia="仿宋_GB2312"/>
              </w:rPr>
              <w:t>拟派项目总监理工程师具备房屋建筑工程注册监理工程师，且未担任其他在监工程项目；</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 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详细评审--监理方案-组织协调及管理制度.docx 详细评审--监理方案-安全控制.docx 详细评审--监理方案-质量控制.docx 详细评审--服务承诺.docx 中小企业声明函 报价表 详细评审--监理方案-投资控制.docx 详细评审--监理方案-服务方案.docx 响应文件封面 详细评审--履约能力-拟派团队.docx 详细评审---类似业绩.docx 残疾人福利性单位声明函 详细评审--监理方案-进度控制.docx 供应商应提交的相关资格证明材料.pdf 详细评审--监理方案-合理化咨询建议.docx 标的清单 响应函 详细评审--监理方案-合同和信息管理.docx 监狱企业的证明文件 详细评审--监理方案-外部技术支持.docx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监理方案-服务方案</w:t>
            </w:r>
          </w:p>
        </w:tc>
        <w:tc>
          <w:tcPr>
            <w:tcW w:type="dxa" w:w="2492"/>
          </w:tcPr>
          <w:p>
            <w:pPr>
              <w:pStyle w:val="null3"/>
            </w:pPr>
            <w:r>
              <w:rPr>
                <w:rFonts w:ascii="仿宋_GB2312" w:hAnsi="仿宋_GB2312" w:cs="仿宋_GB2312" w:eastAsia="仿宋_GB2312"/>
              </w:rPr>
              <w:t>针对本项目监理服务内容，供应商提供全面完善、有针对性、实施性强的监理方案，并对项目实施过程中关键点进行合理分析。①满足磋商文件要求，无瑕疵：得20 分；②方案内容存在 1 处瑕疵：得18 分； ③方案内容存在 2 处瑕疵：得16 分； ④方案内容存在 3 处瑕疵：得14 分； ⑤方案内容存在 4 处瑕疵：得12 分； ⑥方案内容存在 5 处瑕疵：得10 分；⑦方案内容存在 6 处瑕疵：得8 分； ⑧方案内容存在 7 处瑕疵：得6 分； ⑨方案内容存在 8处瑕疵：得4 分； ⑩方案内容存在 9 处瑕疵：得2 分；⑪未提供或不满足磋商文件要求或方案内容存在 10 处及以上瑕疵：得0 分(瑕疵是指:内容不齐全、不详细、不具体、条理不清晰、描述过于简单、与项目特点不匹配、凭空编造、出现常识性错误、不可能实现的夸大情形、存在不适用项目实际情况的情形等）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详细评审--监理方案-服务方案.docx</w:t>
            </w:r>
          </w:p>
        </w:tc>
      </w:tr>
      <w:tr>
        <w:tc>
          <w:tcPr>
            <w:tcW w:type="dxa" w:w="831"/>
            <w:vMerge/>
          </w:tcPr>
          <w:p/>
        </w:tc>
        <w:tc>
          <w:tcPr>
            <w:tcW w:type="dxa" w:w="1661"/>
          </w:tcPr>
          <w:p>
            <w:pPr>
              <w:pStyle w:val="null3"/>
            </w:pPr>
            <w:r>
              <w:rPr>
                <w:rFonts w:ascii="仿宋_GB2312" w:hAnsi="仿宋_GB2312" w:cs="仿宋_GB2312" w:eastAsia="仿宋_GB2312"/>
              </w:rPr>
              <w:t>监理方案-质量控制</w:t>
            </w:r>
          </w:p>
        </w:tc>
        <w:tc>
          <w:tcPr>
            <w:tcW w:type="dxa" w:w="2492"/>
          </w:tcPr>
          <w:p>
            <w:pPr>
              <w:pStyle w:val="null3"/>
            </w:pPr>
            <w:r>
              <w:rPr>
                <w:rFonts w:ascii="仿宋_GB2312" w:hAnsi="仿宋_GB2312" w:cs="仿宋_GB2312" w:eastAsia="仿宋_GB2312"/>
              </w:rPr>
              <w:t>供应商针对本项目需求对项目建设过程、建设内容功能性能的把控、监理报告等方面提供完善的质量控制方法和措施，对于把握本项目质量、安全有较好的思路和控制方法。①满足磋商文件要求，无瑕疵：得7 分；②内容存在 1 处瑕疵：得6 分； ③内容存在 2 处瑕疵：得5 分； ④内容存在 3 处瑕疵：得4 分； ⑤内容存在 4 处瑕疵：得3 分； ⑥内容存在 5处瑕疵：得2 分； ⑦内容存在 6 处瑕疵：得1 分； ⑧未提供或不满足磋商文件要求或内容存在7 处及以上瑕疵：得0分(瑕疵是指:内容不齐全、不详细、不具体、条理不清晰、描述过于简单、与项目特点不匹配、凭空编造、出现常识性错误、不可能实现的夸大情形、存在不适用项目实际情况的情形等）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详细评审--监理方案-质量控制.docx</w:t>
            </w:r>
          </w:p>
        </w:tc>
      </w:tr>
      <w:tr>
        <w:tc>
          <w:tcPr>
            <w:tcW w:type="dxa" w:w="831"/>
            <w:vMerge/>
          </w:tcPr>
          <w:p/>
        </w:tc>
        <w:tc>
          <w:tcPr>
            <w:tcW w:type="dxa" w:w="1661"/>
          </w:tcPr>
          <w:p>
            <w:pPr>
              <w:pStyle w:val="null3"/>
            </w:pPr>
            <w:r>
              <w:rPr>
                <w:rFonts w:ascii="仿宋_GB2312" w:hAnsi="仿宋_GB2312" w:cs="仿宋_GB2312" w:eastAsia="仿宋_GB2312"/>
              </w:rPr>
              <w:t>监理方案-进度控制</w:t>
            </w:r>
          </w:p>
        </w:tc>
        <w:tc>
          <w:tcPr>
            <w:tcW w:type="dxa" w:w="2492"/>
          </w:tcPr>
          <w:p>
            <w:pPr>
              <w:pStyle w:val="null3"/>
            </w:pPr>
            <w:r>
              <w:rPr>
                <w:rFonts w:ascii="仿宋_GB2312" w:hAnsi="仿宋_GB2312" w:cs="仿宋_GB2312" w:eastAsia="仿宋_GB2312"/>
              </w:rPr>
              <w:t>监理进度控制措施、监理计划、工作流程的科学性、合理性、针对性等方面，进行综合评分。 ①满足磋商文件要求，无瑕疵：得5分；②内容存在1处瑕疵：得4分；③内容存在2处瑕疵：得3分；④内容存在3处瑕疵：得2分；⑤内容存在4处瑕疵：得1分；⑥未提供或不满足磋商文件要求或内容存在5处及以上瑕疵：得0 分。(瑕疵是指:内容不齐全、不详细、不具体、条理不清晰、描述过于简单、与项目特点不匹配、凭空编造、出现常识性错误、不可能实现的夸大情形、存在不适用项目实际情况的情形等）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详细评审--监理方案-进度控制.docx</w:t>
            </w:r>
          </w:p>
        </w:tc>
      </w:tr>
      <w:tr>
        <w:tc>
          <w:tcPr>
            <w:tcW w:type="dxa" w:w="831"/>
            <w:vMerge/>
          </w:tcPr>
          <w:p/>
        </w:tc>
        <w:tc>
          <w:tcPr>
            <w:tcW w:type="dxa" w:w="1661"/>
          </w:tcPr>
          <w:p>
            <w:pPr>
              <w:pStyle w:val="null3"/>
            </w:pPr>
            <w:r>
              <w:rPr>
                <w:rFonts w:ascii="仿宋_GB2312" w:hAnsi="仿宋_GB2312" w:cs="仿宋_GB2312" w:eastAsia="仿宋_GB2312"/>
              </w:rPr>
              <w:t>监理方案-投资控制</w:t>
            </w:r>
          </w:p>
        </w:tc>
        <w:tc>
          <w:tcPr>
            <w:tcW w:type="dxa" w:w="2492"/>
          </w:tcPr>
          <w:p>
            <w:pPr>
              <w:pStyle w:val="null3"/>
            </w:pPr>
            <w:r>
              <w:rPr>
                <w:rFonts w:ascii="仿宋_GB2312" w:hAnsi="仿宋_GB2312" w:cs="仿宋_GB2312" w:eastAsia="仿宋_GB2312"/>
              </w:rPr>
              <w:t>投资控制措施的科学性、合理性、针对性等方面，进行综合评分。①满足磋商文件要求，无瑕疵：得6 分；②内容存在 1 处瑕疵：得5 分； ③内容存在 2 处瑕疵：得4 分； ④内容存在 3 处瑕疵：得3 分； ⑤内容存在 4 处瑕疵：得2 分； ⑥内容存在 5 处瑕疵：得1 分； ⑦未提供或不满足磋商文件要求或内容存在6 处及以上瑕疵：得0分。(瑕疵是指:内容不齐全、不详细、不具体、条理不清晰、描述过于简单、与项目特点不匹配、凭空编造、出现常识性错误、不可能实现的夸大情形、存在不适用项目实际情况的情形等）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详细评审--监理方案-投资控制.docx</w:t>
            </w:r>
          </w:p>
        </w:tc>
      </w:tr>
      <w:tr>
        <w:tc>
          <w:tcPr>
            <w:tcW w:type="dxa" w:w="831"/>
            <w:vMerge/>
          </w:tcPr>
          <w:p/>
        </w:tc>
        <w:tc>
          <w:tcPr>
            <w:tcW w:type="dxa" w:w="1661"/>
          </w:tcPr>
          <w:p>
            <w:pPr>
              <w:pStyle w:val="null3"/>
            </w:pPr>
            <w:r>
              <w:rPr>
                <w:rFonts w:ascii="仿宋_GB2312" w:hAnsi="仿宋_GB2312" w:cs="仿宋_GB2312" w:eastAsia="仿宋_GB2312"/>
              </w:rPr>
              <w:t>监理方案-安全控制</w:t>
            </w:r>
          </w:p>
        </w:tc>
        <w:tc>
          <w:tcPr>
            <w:tcW w:type="dxa" w:w="2492"/>
          </w:tcPr>
          <w:p>
            <w:pPr>
              <w:pStyle w:val="null3"/>
            </w:pPr>
            <w:r>
              <w:rPr>
                <w:rFonts w:ascii="仿宋_GB2312" w:hAnsi="仿宋_GB2312" w:cs="仿宋_GB2312" w:eastAsia="仿宋_GB2312"/>
              </w:rPr>
              <w:t>安全控制措施的科学性、合理性、针对性等方面，进行综合评分。①满足磋商文件要求，无瑕疵：得10 分；②内容存在 1 处瑕疵：得8 分； ③内容存在 2 处瑕疵：得6 分； ④内容存在 3 处瑕疵：得4 分； ⑤内容存在 4 处瑕疵：得2 分； ⑥未提供或不满足磋商文件要求或内容存在5 处及以上瑕疵：得0分。(瑕疵是指:内容不齐全、不详细、不具体、条理不清晰、描述过于简单、与项目特点不匹配、凭空编造、出现常识性错误、不可能实现的夸大情形、存在不适用项目实际情况的情形等）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详细评审--监理方案-安全控制.docx</w:t>
            </w:r>
          </w:p>
        </w:tc>
      </w:tr>
      <w:tr>
        <w:tc>
          <w:tcPr>
            <w:tcW w:type="dxa" w:w="831"/>
            <w:vMerge/>
          </w:tcPr>
          <w:p/>
        </w:tc>
        <w:tc>
          <w:tcPr>
            <w:tcW w:type="dxa" w:w="1661"/>
          </w:tcPr>
          <w:p>
            <w:pPr>
              <w:pStyle w:val="null3"/>
            </w:pPr>
            <w:r>
              <w:rPr>
                <w:rFonts w:ascii="仿宋_GB2312" w:hAnsi="仿宋_GB2312" w:cs="仿宋_GB2312" w:eastAsia="仿宋_GB2312"/>
              </w:rPr>
              <w:t>监理方案-合同和信息管理</w:t>
            </w:r>
          </w:p>
        </w:tc>
        <w:tc>
          <w:tcPr>
            <w:tcW w:type="dxa" w:w="2492"/>
          </w:tcPr>
          <w:p>
            <w:pPr>
              <w:pStyle w:val="null3"/>
            </w:pPr>
            <w:r>
              <w:rPr>
                <w:rFonts w:ascii="仿宋_GB2312" w:hAnsi="仿宋_GB2312" w:cs="仿宋_GB2312" w:eastAsia="仿宋_GB2312"/>
              </w:rPr>
              <w:t>针对本项目需求，根据供应商提供的合同和文档信息管理的内容科学性、合理性、措施完善性、针对性等方面，进行综合评分。①满足磋商文件要求，无瑕疵：得7 分；②内容存在 1 处瑕疵：得6 分； ③内容存在 2 处瑕疵：得5 分； ④内容存在 3 处瑕疵：得4 分； ⑤内容存在 4 处瑕疵：得3 分； ⑥内容存在 5处瑕疵：得2 分； ⑦内容存在 6 处瑕疵：得1 分； ⑧未提供或不满足磋商文件要求或内容存在7 处及以上瑕疵：得0分(瑕疵是指:内容不齐全、不详细、不具体、条理不清晰、描述过于简单、与项目特点不匹配、凭空编造、出现常识性错误、不可能实现的夸大情形、存在不适用项目实际情况的情形等）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详细评审--监理方案-合同和信息管理.docx</w:t>
            </w:r>
          </w:p>
        </w:tc>
      </w:tr>
      <w:tr>
        <w:tc>
          <w:tcPr>
            <w:tcW w:type="dxa" w:w="831"/>
            <w:vMerge/>
          </w:tcPr>
          <w:p/>
        </w:tc>
        <w:tc>
          <w:tcPr>
            <w:tcW w:type="dxa" w:w="1661"/>
          </w:tcPr>
          <w:p>
            <w:pPr>
              <w:pStyle w:val="null3"/>
            </w:pPr>
            <w:r>
              <w:rPr>
                <w:rFonts w:ascii="仿宋_GB2312" w:hAnsi="仿宋_GB2312" w:cs="仿宋_GB2312" w:eastAsia="仿宋_GB2312"/>
              </w:rPr>
              <w:t>监理方案-组织协调及管理制度</w:t>
            </w:r>
          </w:p>
        </w:tc>
        <w:tc>
          <w:tcPr>
            <w:tcW w:type="dxa" w:w="2492"/>
          </w:tcPr>
          <w:p>
            <w:pPr>
              <w:pStyle w:val="null3"/>
            </w:pPr>
            <w:r>
              <w:rPr>
                <w:rFonts w:ascii="仿宋_GB2312" w:hAnsi="仿宋_GB2312" w:cs="仿宋_GB2312" w:eastAsia="仿宋_GB2312"/>
              </w:rPr>
              <w:t>供应商针对本项目具有明确的组织协调目标和监理工作制度。根据提供的组织协调方法合理、监理制度完备程度进行评审。①满足磋商文件要求，无瑕疵：得5分；②内容存在1处瑕疵：得4分；③内容存在2处瑕疵：得3分；④内容存在3处瑕疵：得2分；⑤内容存在4处瑕疵：得1分；⑥未提供或不满足磋商文件要求或内容存在5处及以上瑕疵：得0 分。(瑕疵是指:内容不齐全、不详细、不具体、条理不清晰、描述过于简单、与项目特点不匹配、凭空编造、出现常识性错误、不可能实现的夸大情形、存在不适用项目实际情况的情形等）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详细评审--监理方案-组织协调及管理制度.docx</w:t>
            </w:r>
          </w:p>
        </w:tc>
      </w:tr>
      <w:tr>
        <w:tc>
          <w:tcPr>
            <w:tcW w:type="dxa" w:w="831"/>
            <w:vMerge/>
          </w:tcPr>
          <w:p/>
        </w:tc>
        <w:tc>
          <w:tcPr>
            <w:tcW w:type="dxa" w:w="1661"/>
          </w:tcPr>
          <w:p>
            <w:pPr>
              <w:pStyle w:val="null3"/>
            </w:pPr>
            <w:r>
              <w:rPr>
                <w:rFonts w:ascii="仿宋_GB2312" w:hAnsi="仿宋_GB2312" w:cs="仿宋_GB2312" w:eastAsia="仿宋_GB2312"/>
              </w:rPr>
              <w:t>监理方案-合理化咨询建议</w:t>
            </w:r>
          </w:p>
        </w:tc>
        <w:tc>
          <w:tcPr>
            <w:tcW w:type="dxa" w:w="2492"/>
          </w:tcPr>
          <w:p>
            <w:pPr>
              <w:pStyle w:val="null3"/>
            </w:pPr>
            <w:r>
              <w:rPr>
                <w:rFonts w:ascii="仿宋_GB2312" w:hAnsi="仿宋_GB2312" w:cs="仿宋_GB2312" w:eastAsia="仿宋_GB2312"/>
              </w:rPr>
              <w:t>本项目监理咨询建议的针对性、内容的完善性、建议的合理性等，进行综合评分。①满足磋商文件要求，无瑕疵：得5分；②内容存在1处瑕疵：得4分；③内容存在2处瑕疵：得3分；④内容存在3处瑕疵：得2分；⑤内容存在4处瑕疵：得1分；⑥未提供或不满足磋商文件要求或内容存在5处及以上瑕疵：得0 分。(瑕疵是指:内容不齐全、不详细、不具体、条理不清晰、描述过于简单、与项目特点不匹配、凭空编造、出现常识性错误、不可能实现的夸大情形、存在不适用项目实际情况的情形等）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详细评审--监理方案-合理化咨询建议.docx</w:t>
            </w:r>
          </w:p>
        </w:tc>
      </w:tr>
      <w:tr>
        <w:tc>
          <w:tcPr>
            <w:tcW w:type="dxa" w:w="831"/>
            <w:vMerge/>
          </w:tcPr>
          <w:p/>
        </w:tc>
        <w:tc>
          <w:tcPr>
            <w:tcW w:type="dxa" w:w="1661"/>
          </w:tcPr>
          <w:p>
            <w:pPr>
              <w:pStyle w:val="null3"/>
            </w:pPr>
            <w:r>
              <w:rPr>
                <w:rFonts w:ascii="仿宋_GB2312" w:hAnsi="仿宋_GB2312" w:cs="仿宋_GB2312" w:eastAsia="仿宋_GB2312"/>
              </w:rPr>
              <w:t>监理方案-外部技术支持</w:t>
            </w:r>
          </w:p>
        </w:tc>
        <w:tc>
          <w:tcPr>
            <w:tcW w:type="dxa" w:w="2492"/>
          </w:tcPr>
          <w:p>
            <w:pPr>
              <w:pStyle w:val="null3"/>
            </w:pPr>
            <w:r>
              <w:rPr>
                <w:rFonts w:ascii="仿宋_GB2312" w:hAnsi="仿宋_GB2312" w:cs="仿宋_GB2312" w:eastAsia="仿宋_GB2312"/>
              </w:rPr>
              <w:t>若项目出现技术难题，供应商应配备一定的外部技术支持力量。①满足磋商文件要求，无瑕疵：得7 分；②内容存在 1 处瑕疵：得6 分； ③内容存在 2 处瑕疵：得5 分； ④内容存在 3 处瑕疵：得4 分； ⑤内容存在 4 处瑕疵：得3 分； ⑥内容存在 5处瑕疵：得2 分； ⑦内容存在 6 处瑕疵：得1 分； ⑧未提供或不满足磋商文件要求或内容存在7 处及以上瑕疵：得0分(瑕疵是指:内容不齐全、不详细、不具体、条理不清晰、描述过于简单、与项目特点不匹配、凭空编造、出现常识性错误、不可能实现的夸大情形、存在不适用项目实际情况的情形等）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详细评审--监理方案-外部技术支持.docx</w:t>
            </w:r>
          </w:p>
        </w:tc>
      </w:tr>
      <w:tr>
        <w:tc>
          <w:tcPr>
            <w:tcW w:type="dxa" w:w="831"/>
            <w:vMerge/>
          </w:tcPr>
          <w:p/>
        </w:tc>
        <w:tc>
          <w:tcPr>
            <w:tcW w:type="dxa" w:w="1661"/>
          </w:tcPr>
          <w:p>
            <w:pPr>
              <w:pStyle w:val="null3"/>
            </w:pPr>
            <w:r>
              <w:rPr>
                <w:rFonts w:ascii="仿宋_GB2312" w:hAnsi="仿宋_GB2312" w:cs="仿宋_GB2312" w:eastAsia="仿宋_GB2312"/>
              </w:rPr>
              <w:t>履约能力-拟派团队</w:t>
            </w:r>
          </w:p>
        </w:tc>
        <w:tc>
          <w:tcPr>
            <w:tcW w:type="dxa" w:w="2492"/>
          </w:tcPr>
          <w:p>
            <w:pPr>
              <w:pStyle w:val="null3"/>
            </w:pPr>
            <w:r>
              <w:rPr>
                <w:rFonts w:ascii="仿宋_GB2312" w:hAnsi="仿宋_GB2312" w:cs="仿宋_GB2312" w:eastAsia="仿宋_GB2312"/>
              </w:rPr>
              <w:t>供应商项目组人员至少应包括（除拟派项目总监理工程师外）：土建专业1人、电气专业1人、安全专业1人、造价专业1人并提供组成人员简历及相关证明材料（包括但不限于学历、专业监理工程师证书、从事本行业工作年限等）。满足以上全部要求的，得6分；缺少一个人扣1.5分，扣完为止。注：以加盖公章的有效证明材料为评审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详细评审--履约能力-拟派团队.docx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 年1月1日至本项目响应文件递交截止时间前的类似监理业绩 ，（提供监理服务合同或中标通知书），每提供一份有效业绩得1分，最高得5分。评审依据：供应商提供加盖单位公章的合同或中标通知书的扫描件。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详细评审---类似业绩.docx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针对本项目监理提供快速及时的服务响应；承诺解决问题的时限迅速、合理；人员到位保障措施的完善程度。①满足磋商文件要求，无瑕疵：得7 分；②内容存在 1 处瑕疵：得6 分； ③内容存在 2 处瑕疵：得5 分； ④内容存在 3 处瑕疵：得4 分； ⑤内容存在 4 处瑕疵：得3 分； ⑥内容存在 5处瑕疵：得2 分； ⑦内容存在 6 处瑕疵：得1 分； ⑧未提供或不满足磋商文件要求或内容存在7 处及以上瑕疵：得0分(瑕疵是指:内容不齐全、不详细、不具体、条理不清晰、描述过于简单、与项目特点不匹配、凭空编造、出现常识性错误、不可能实现的夸大情形、存在不适用项目实际情况的情形等）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价格分采用低价优先法计算，即满足采购文件要求且最后报价最低的供应商的价格为评标基准价，其价格分为满分。其他供应商的价格分统一按照下列公式计算：报价得分=（评标基准价/投标报价）×价格权重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详见附件：详细评审--监理方案-服务方案.docx</w:t>
      </w:r>
    </w:p>
    <w:p>
      <w:pPr>
        <w:pStyle w:val="null3"/>
        <w:ind w:firstLine="960"/>
      </w:pPr>
      <w:r>
        <w:rPr>
          <w:rFonts w:ascii="仿宋_GB2312" w:hAnsi="仿宋_GB2312" w:cs="仿宋_GB2312" w:eastAsia="仿宋_GB2312"/>
        </w:rPr>
        <w:t>详见附件：详细评审--监理方案-质量控制.docx</w:t>
      </w:r>
    </w:p>
    <w:p>
      <w:pPr>
        <w:pStyle w:val="null3"/>
        <w:ind w:firstLine="960"/>
      </w:pPr>
      <w:r>
        <w:rPr>
          <w:rFonts w:ascii="仿宋_GB2312" w:hAnsi="仿宋_GB2312" w:cs="仿宋_GB2312" w:eastAsia="仿宋_GB2312"/>
        </w:rPr>
        <w:t>详见附件：详细评审--监理方案-进度控制.docx</w:t>
      </w:r>
    </w:p>
    <w:p>
      <w:pPr>
        <w:pStyle w:val="null3"/>
        <w:ind w:firstLine="960"/>
      </w:pPr>
      <w:r>
        <w:rPr>
          <w:rFonts w:ascii="仿宋_GB2312" w:hAnsi="仿宋_GB2312" w:cs="仿宋_GB2312" w:eastAsia="仿宋_GB2312"/>
        </w:rPr>
        <w:t>详见附件：详细评审--监理方案-投资控制.docx</w:t>
      </w:r>
    </w:p>
    <w:p>
      <w:pPr>
        <w:pStyle w:val="null3"/>
        <w:ind w:firstLine="960"/>
      </w:pPr>
      <w:r>
        <w:rPr>
          <w:rFonts w:ascii="仿宋_GB2312" w:hAnsi="仿宋_GB2312" w:cs="仿宋_GB2312" w:eastAsia="仿宋_GB2312"/>
        </w:rPr>
        <w:t>详见附件：详细评审--监理方案-安全控制.docx</w:t>
      </w:r>
    </w:p>
    <w:p>
      <w:pPr>
        <w:pStyle w:val="null3"/>
        <w:ind w:firstLine="960"/>
      </w:pPr>
      <w:r>
        <w:rPr>
          <w:rFonts w:ascii="仿宋_GB2312" w:hAnsi="仿宋_GB2312" w:cs="仿宋_GB2312" w:eastAsia="仿宋_GB2312"/>
        </w:rPr>
        <w:t>详见附件：详细评审--监理方案-合同和信息管理.docx</w:t>
      </w:r>
    </w:p>
    <w:p>
      <w:pPr>
        <w:pStyle w:val="null3"/>
        <w:ind w:firstLine="960"/>
      </w:pPr>
      <w:r>
        <w:rPr>
          <w:rFonts w:ascii="仿宋_GB2312" w:hAnsi="仿宋_GB2312" w:cs="仿宋_GB2312" w:eastAsia="仿宋_GB2312"/>
        </w:rPr>
        <w:t>详见附件：详细评审--监理方案-组织协调及管理制度.docx</w:t>
      </w:r>
    </w:p>
    <w:p>
      <w:pPr>
        <w:pStyle w:val="null3"/>
        <w:ind w:firstLine="960"/>
      </w:pPr>
      <w:r>
        <w:rPr>
          <w:rFonts w:ascii="仿宋_GB2312" w:hAnsi="仿宋_GB2312" w:cs="仿宋_GB2312" w:eastAsia="仿宋_GB2312"/>
        </w:rPr>
        <w:t>详见附件：详细评审--监理方案-合理化咨询建议.docx</w:t>
      </w:r>
    </w:p>
    <w:p>
      <w:pPr>
        <w:pStyle w:val="null3"/>
        <w:ind w:firstLine="960"/>
      </w:pPr>
      <w:r>
        <w:rPr>
          <w:rFonts w:ascii="仿宋_GB2312" w:hAnsi="仿宋_GB2312" w:cs="仿宋_GB2312" w:eastAsia="仿宋_GB2312"/>
        </w:rPr>
        <w:t>详见附件：详细评审--监理方案-外部技术支持.docx</w:t>
      </w:r>
    </w:p>
    <w:p>
      <w:pPr>
        <w:pStyle w:val="null3"/>
        <w:ind w:firstLine="960"/>
      </w:pPr>
      <w:r>
        <w:rPr>
          <w:rFonts w:ascii="仿宋_GB2312" w:hAnsi="仿宋_GB2312" w:cs="仿宋_GB2312" w:eastAsia="仿宋_GB2312"/>
        </w:rPr>
        <w:t>详见附件：详细评审--履约能力-拟派团队.docx</w:t>
      </w:r>
    </w:p>
    <w:p>
      <w:pPr>
        <w:pStyle w:val="null3"/>
        <w:ind w:firstLine="960"/>
      </w:pPr>
      <w:r>
        <w:rPr>
          <w:rFonts w:ascii="仿宋_GB2312" w:hAnsi="仿宋_GB2312" w:cs="仿宋_GB2312" w:eastAsia="仿宋_GB2312"/>
        </w:rPr>
        <w:t>详见附件：详细评审---类似业绩.docx</w:t>
      </w:r>
    </w:p>
    <w:p>
      <w:pPr>
        <w:pStyle w:val="null3"/>
        <w:ind w:firstLine="960"/>
      </w:pPr>
      <w:r>
        <w:rPr>
          <w:rFonts w:ascii="仿宋_GB2312" w:hAnsi="仿宋_GB2312" w:cs="仿宋_GB2312" w:eastAsia="仿宋_GB2312"/>
        </w:rPr>
        <w:t>详见附件：详细评审--服务承诺.docx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