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版本号：XNW-202507420251223001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陕西省2025年省级秦岭生态环境保护资金洋县古树名木保护项目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XNW-2025074</w:t>
      </w:r>
      <w:r>
        <w:br/>
      </w:r>
      <w:r>
        <w:br/>
      </w:r>
      <w:r>
        <w:br/>
      </w:r>
    </w:p>
    <w:p>
      <w:pPr>
        <w:pStyle w:val="null3"/>
        <w:jc w:val="center"/>
        <w:outlineLvl w:val="2"/>
      </w:pPr>
      <w:r>
        <w:rPr>
          <w:rFonts w:ascii="仿宋_GB2312" w:hAnsi="仿宋_GB2312" w:cs="仿宋_GB2312" w:eastAsia="仿宋_GB2312"/>
          <w:sz w:val="28"/>
          <w:b/>
        </w:rPr>
        <w:t>洋县林业局（机关）</w:t>
      </w:r>
    </w:p>
    <w:p>
      <w:pPr>
        <w:pStyle w:val="null3"/>
        <w:jc w:val="center"/>
        <w:outlineLvl w:val="2"/>
      </w:pPr>
      <w:r>
        <w:rPr>
          <w:rFonts w:ascii="仿宋_GB2312" w:hAnsi="仿宋_GB2312" w:cs="仿宋_GB2312" w:eastAsia="仿宋_GB2312"/>
          <w:sz w:val="28"/>
          <w:b/>
        </w:rPr>
        <w:t>陕西旭诺维项目管理有限公司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陕西旭诺维项目管理有限公司</w:t>
      </w:r>
      <w:r>
        <w:rPr>
          <w:rFonts w:ascii="仿宋_GB2312" w:hAnsi="仿宋_GB2312" w:cs="仿宋_GB2312" w:eastAsia="仿宋_GB2312"/>
        </w:rPr>
        <w:t>（以下简称“代理机构”）受</w:t>
      </w:r>
      <w:r>
        <w:rPr>
          <w:rFonts w:ascii="仿宋_GB2312" w:hAnsi="仿宋_GB2312" w:cs="仿宋_GB2312" w:eastAsia="仿宋_GB2312"/>
        </w:rPr>
        <w:t>洋县林业局（机关）</w:t>
      </w:r>
      <w:r>
        <w:rPr>
          <w:rFonts w:ascii="仿宋_GB2312" w:hAnsi="仿宋_GB2312" w:cs="仿宋_GB2312" w:eastAsia="仿宋_GB2312"/>
        </w:rPr>
        <w:t>委托，拟对</w:t>
      </w:r>
      <w:r>
        <w:rPr>
          <w:rFonts w:ascii="仿宋_GB2312" w:hAnsi="仿宋_GB2312" w:cs="仿宋_GB2312" w:eastAsia="仿宋_GB2312"/>
        </w:rPr>
        <w:t>陕西省2025年省级秦岭生态环境保护资金洋县古树名木保护项目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XNW-2025074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陕西省2025年省级秦岭生态环境保护资金洋县古树名木保护项目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按照《实施方案》对全县18个镇、街道办事处238株具有树体伤病和环境伤病的古树名木，按照“一树一策”采取树体修复与环境恢复的保护措施。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采购包1（陕西省2025年省级秦岭生态环境保护资金洋县古树名木保护项目）：属于专门面向中小企业采购。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投标人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4、资质要求：投标人须具备陕西省林学会颁发的林业有害生物防治丙级及以上资质证书</w:t>
      </w:r>
    </w:p>
    <w:p>
      <w:pPr>
        <w:pStyle w:val="null3"/>
      </w:pPr>
      <w:r>
        <w:rPr>
          <w:rFonts w:ascii="仿宋_GB2312" w:hAnsi="仿宋_GB2312" w:cs="仿宋_GB2312" w:eastAsia="仿宋_GB2312"/>
        </w:rPr>
        <w:t>5、本采购包专门面向中小企业采购：本项目为专门面向中小企业采购，投标人应为中型企业或小型、微型企业或监狱企业或残疾人福利性单位。投标人为中型、小型、微型企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洋县林业局（机关）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汉中市洋县戚氏镇竹园村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0916-8212316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陕西旭诺维项目管理有限公司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汉中市汉台区石马路汉菲曼酒店17楼07室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0916-2608638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张博今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15591616813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采购包1：2,282,000.00元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开户名称：陕西旭诺维项目管理有限公司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银行账号：806060801421007713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洋县林业局（机关）</w:t>
      </w:r>
      <w:r>
        <w:rPr>
          <w:rFonts w:ascii="仿宋_GB2312" w:hAnsi="仿宋_GB2312" w:cs="仿宋_GB2312" w:eastAsia="仿宋_GB2312"/>
        </w:rPr>
        <w:t>和</w:t>
      </w:r>
      <w:r>
        <w:rPr>
          <w:rFonts w:ascii="仿宋_GB2312" w:hAnsi="仿宋_GB2312" w:cs="仿宋_GB2312" w:eastAsia="仿宋_GB2312"/>
        </w:rPr>
        <w:t>陕西旭诺维项目管理有限公司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洋县林业局（机关）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陕西旭诺维项目管理有限公司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洋县林业局（机关）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陕西旭诺维项目管理有限公司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联系人：郑工</w:t>
      </w:r>
    </w:p>
    <w:p>
      <w:pPr>
        <w:pStyle w:val="null3"/>
      </w:pPr>
      <w:r>
        <w:rPr>
          <w:rFonts w:ascii="仿宋_GB2312" w:hAnsi="仿宋_GB2312" w:cs="仿宋_GB2312" w:eastAsia="仿宋_GB2312"/>
        </w:rPr>
        <w:t>联系电话：0916-2608638</w:t>
      </w:r>
    </w:p>
    <w:p>
      <w:pPr>
        <w:pStyle w:val="null3"/>
      </w:pPr>
      <w:r>
        <w:rPr>
          <w:rFonts w:ascii="仿宋_GB2312" w:hAnsi="仿宋_GB2312" w:cs="仿宋_GB2312" w:eastAsia="仿宋_GB2312"/>
        </w:rPr>
        <w:t>地址：汉中市汉台区石马路汉菲曼酒店17楼07室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按照《实施方案》对全县18个镇、街道办事处238株具有树体伤病和环境伤病的古树名木，按照“一树一策”采取树体修复与环境恢复的保护措施。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2,282,000.00</w:t>
      </w:r>
    </w:p>
    <w:p>
      <w:pPr>
        <w:pStyle w:val="null3"/>
      </w:pPr>
      <w:r>
        <w:rPr>
          <w:rFonts w:ascii="仿宋_GB2312" w:hAnsi="仿宋_GB2312" w:cs="仿宋_GB2312" w:eastAsia="仿宋_GB2312"/>
        </w:rPr>
        <w:t>采购包最高限价（元）: 2,282,000.00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古树名木保护项目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标的名称：古树名木保护项目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30"/>
              <w:jc w:val="left"/>
            </w:pPr>
            <w:r>
              <w:rPr>
                <w:rFonts w:ascii="仿宋_GB2312" w:hAnsi="仿宋_GB2312" w:cs="仿宋_GB2312" w:eastAsia="仿宋_GB2312"/>
                <w:sz w:val="24"/>
                <w:b/>
                <w:color w:val="000000"/>
              </w:rPr>
              <w:t>1、项目概况</w:t>
            </w:r>
          </w:p>
          <w:p>
            <w:pPr>
              <w:pStyle w:val="null3"/>
              <w:spacing w:before="150"/>
              <w:ind w:left="30" w:right="15" w:firstLine="56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1）项目名称：陕西省 2025 年省级秦岭生态环境保护资金洋县古树名木保护项目</w:t>
            </w:r>
          </w:p>
          <w:p>
            <w:pPr>
              <w:pStyle w:val="null3"/>
              <w:spacing w:before="90"/>
              <w:ind w:left="58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2）项目建设单位：洋县林业局</w:t>
            </w:r>
          </w:p>
          <w:p>
            <w:pPr>
              <w:pStyle w:val="null3"/>
              <w:spacing w:before="150"/>
              <w:ind w:left="30" w:right="15" w:firstLine="56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3）项目范围：全县登记在册与增补的古树名木</w:t>
            </w:r>
          </w:p>
          <w:p>
            <w:pPr>
              <w:pStyle w:val="null3"/>
              <w:spacing w:before="150"/>
              <w:ind w:left="30" w:right="15" w:firstLine="56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4）服务期限：2026 年 8 月完成项目验收</w:t>
            </w:r>
          </w:p>
          <w:p>
            <w:pPr>
              <w:pStyle w:val="null3"/>
              <w:spacing w:before="150"/>
              <w:ind w:left="30" w:right="15" w:firstLine="56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5）资金来源：项目资金来源于 2025 年省级财政资金。</w:t>
            </w:r>
          </w:p>
          <w:p>
            <w:pPr>
              <w:pStyle w:val="null3"/>
              <w:ind w:left="15"/>
              <w:jc w:val="left"/>
            </w:pPr>
            <w:r>
              <w:rPr>
                <w:rFonts w:ascii="仿宋_GB2312" w:hAnsi="仿宋_GB2312" w:cs="仿宋_GB2312" w:eastAsia="仿宋_GB2312"/>
                <w:sz w:val="24"/>
                <w:b/>
                <w:color w:val="000000"/>
              </w:rPr>
              <w:t>2、基本原则</w:t>
            </w:r>
          </w:p>
          <w:p>
            <w:pPr>
              <w:pStyle w:val="null3"/>
              <w:spacing w:before="285"/>
              <w:ind w:left="58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1）坚持依法保护原则</w:t>
            </w:r>
          </w:p>
          <w:p>
            <w:pPr>
              <w:pStyle w:val="null3"/>
              <w:spacing w:before="300"/>
              <w:ind w:left="30" w:firstLine="589"/>
              <w:jc w:val="left"/>
            </w:pPr>
            <w:r>
              <w:rPr>
                <w:rFonts w:ascii="仿宋_GB2312" w:hAnsi="仿宋_GB2312" w:cs="仿宋_GB2312" w:eastAsia="仿宋_GB2312"/>
                <w:sz w:val="24"/>
                <w:color w:val="000000"/>
              </w:rPr>
              <w:t>以《中华人民共和国环境保护法》、《中华人民共和国野生植物保护条例》、《古树名木保护条例》、《陕西省古树名木保护条例》等法律法规及《城市古树名木养护和复壮工程技术规范》、《古树名木复壮养护技术和保护管理办法》等规程规范为依据，坚持有法必依，依法开展保护工作。</w:t>
            </w:r>
          </w:p>
          <w:p>
            <w:pPr>
              <w:pStyle w:val="null3"/>
              <w:ind w:left="58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2）坚持生态优先原则</w:t>
            </w:r>
          </w:p>
          <w:p>
            <w:pPr>
              <w:pStyle w:val="null3"/>
              <w:spacing w:before="180"/>
              <w:ind w:left="30" w:right="75" w:firstLine="544"/>
              <w:jc w:val="left"/>
            </w:pPr>
            <w:r>
              <w:rPr>
                <w:rFonts w:ascii="仿宋_GB2312" w:hAnsi="仿宋_GB2312" w:cs="仿宋_GB2312" w:eastAsia="仿宋_GB2312"/>
                <w:sz w:val="24"/>
                <w:color w:val="000000"/>
              </w:rPr>
              <w:t>古树保护应突出生态保护的理念，把对古树树体的保护与古树周围生态环境改善、人类干扰控制等有机结合，尽可能减少和规避人为对古树生境的过度扰动，为古树构建良好的生态环境，促进生态平衡和良性循环。同时采用生态的保护方法，生态的施工工艺，减少对树体与生境的影响。</w:t>
            </w:r>
          </w:p>
          <w:p>
            <w:pPr>
              <w:pStyle w:val="null3"/>
              <w:ind w:left="58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3）坚持一树一策原则</w:t>
            </w:r>
          </w:p>
          <w:p>
            <w:pPr>
              <w:pStyle w:val="null3"/>
              <w:spacing w:before="300"/>
              <w:ind w:left="30" w:right="75" w:firstLine="558"/>
              <w:jc w:val="left"/>
            </w:pPr>
            <w:r>
              <w:rPr>
                <w:rFonts w:ascii="仿宋_GB2312" w:hAnsi="仿宋_GB2312" w:cs="仿宋_GB2312" w:eastAsia="仿宋_GB2312"/>
                <w:sz w:val="24"/>
                <w:color w:val="000000"/>
              </w:rPr>
              <w:t>在对古树现地进行全面调查的基础上，对古树树体及其生境进行全方位健康诊断，基于自然环境与古树生长的基本规律，针对每株古树具体问题具体分析，对症处方，制定合理的</w:t>
            </w:r>
            <w:r>
              <w:rPr>
                <w:rFonts w:ascii="仿宋_GB2312" w:hAnsi="仿宋_GB2312" w:cs="仿宋_GB2312" w:eastAsia="仿宋_GB2312"/>
                <w:sz w:val="24"/>
                <w:color w:val="000000"/>
              </w:rPr>
              <w:t>“一树一策”保护复壮方案，开展科学保护。</w:t>
            </w:r>
          </w:p>
          <w:p>
            <w:pPr>
              <w:pStyle w:val="null3"/>
              <w:ind w:left="58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4）坚持高效节约原则</w:t>
            </w:r>
          </w:p>
          <w:p>
            <w:pPr>
              <w:pStyle w:val="null3"/>
              <w:spacing w:before="285"/>
              <w:ind w:left="30" w:right="75" w:firstLine="559"/>
              <w:jc w:val="left"/>
            </w:pPr>
            <w:r>
              <w:rPr>
                <w:rFonts w:ascii="仿宋_GB2312" w:hAnsi="仿宋_GB2312" w:cs="仿宋_GB2312" w:eastAsia="仿宋_GB2312"/>
                <w:sz w:val="24"/>
                <w:color w:val="000000"/>
              </w:rPr>
              <w:t>依据古树名木经验与技术积累，制订高效、节约的保护方案，做到具体措施切实可行、高效低成本的解决实际情况，使保护方案具有可操作性，所涉及的方法和技术能得到有效实施。</w:t>
            </w:r>
          </w:p>
          <w:p>
            <w:pPr>
              <w:pStyle w:val="null3"/>
              <w:ind w:left="15"/>
              <w:jc w:val="left"/>
            </w:pPr>
            <w:r>
              <w:rPr>
                <w:rFonts w:ascii="仿宋_GB2312" w:hAnsi="仿宋_GB2312" w:cs="仿宋_GB2312" w:eastAsia="仿宋_GB2312"/>
                <w:sz w:val="24"/>
                <w:b/>
                <w:color w:val="000000"/>
              </w:rPr>
              <w:t>3、项目目标</w:t>
            </w:r>
          </w:p>
          <w:p>
            <w:pPr>
              <w:pStyle w:val="null3"/>
              <w:spacing w:before="285"/>
              <w:ind w:left="30" w:right="75" w:firstLine="559"/>
              <w:jc w:val="left"/>
            </w:pPr>
            <w:r>
              <w:rPr>
                <w:rFonts w:ascii="仿宋_GB2312" w:hAnsi="仿宋_GB2312" w:cs="仿宋_GB2312" w:eastAsia="仿宋_GB2312"/>
                <w:sz w:val="24"/>
                <w:color w:val="000000"/>
              </w:rPr>
              <w:t>通过全县古树名木本底调查状况，制定合理的抢救复壮保护方案，开展抢救复壮保护工作，以实现古树的有效复壮保护，并建立成熟的保护技术体系与档案资料。同时，建立完善的古树名木保护管理体制和责任机制；开展古树名木保护技术培训；提升社会公众古树名木保护意识。</w:t>
            </w:r>
          </w:p>
          <w:p>
            <w:pPr>
              <w:pStyle w:val="null3"/>
              <w:spacing w:before="285"/>
              <w:ind w:right="75"/>
              <w:jc w:val="left"/>
            </w:pPr>
            <w:r>
              <w:rPr>
                <w:rFonts w:ascii="仿宋_GB2312" w:hAnsi="仿宋_GB2312" w:cs="仿宋_GB2312" w:eastAsia="仿宋_GB2312"/>
                <w:sz w:val="24"/>
                <w:b/>
                <w:color w:val="000000"/>
              </w:rPr>
              <w:t>4、作业内容</w:t>
            </w:r>
          </w:p>
          <w:tbl>
            <w:tblPr>
              <w:tblInd w:type="dxa" w:w="105"/>
              <w:tblBorders>
                <w:top w:val="none" w:color="000000" w:sz="4"/>
                <w:left w:val="none" w:color="000000" w:sz="4"/>
                <w:bottom w:val="none" w:color="000000" w:sz="4"/>
                <w:right w:val="none" w:color="000000" w:sz="4"/>
                <w:insideH w:val="none"/>
                <w:insideV w:val="none"/>
              </w:tblBorders>
            </w:tblPr>
            <w:tblGrid>
              <w:gridCol w:w="514"/>
              <w:gridCol w:w="2038"/>
            </w:tblGrid>
            <w:tr>
              <w:tc>
                <w:tcPr>
                  <w:tcW w:type="dxa" w:w="5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jc w:val="left"/>
                  </w:pPr>
                  <w:r>
                    <w:rPr>
                      <w:rFonts w:ascii="仿宋_GB2312" w:hAnsi="仿宋_GB2312" w:cs="仿宋_GB2312" w:eastAsia="仿宋_GB2312"/>
                      <w:sz w:val="24"/>
                      <w:color w:val="000000"/>
                    </w:rPr>
                    <w:t>序号</w:t>
                  </w:r>
                </w:p>
              </w:tc>
              <w:tc>
                <w:tcPr>
                  <w:tcW w:type="dxa" w:w="20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rFonts w:ascii="仿宋_GB2312" w:hAnsi="仿宋_GB2312" w:cs="仿宋_GB2312" w:eastAsia="仿宋_GB2312"/>
                      <w:sz w:val="24"/>
                      <w:color w:val="000000"/>
                    </w:rPr>
                    <w:t>作业内容</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4"/>
                    </w:rPr>
                    <w:t>1</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树体防腐</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4"/>
                    </w:rPr>
                    <w:t>2</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树洞开敞式修复</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4"/>
                    </w:rPr>
                    <w:t>3</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树洞填充式修复</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both"/>
                  </w:pPr>
                  <w:r>
                    <w:rPr>
                      <w:rFonts w:ascii="仿宋_GB2312" w:hAnsi="仿宋_GB2312" w:cs="仿宋_GB2312" w:eastAsia="仿宋_GB2312"/>
                      <w:sz w:val="24"/>
                    </w:rPr>
                    <w:t>4</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危险性枝条修剪</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4"/>
                    </w:rPr>
                    <w:t>5</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垃圾站及其他构筑物拆除</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4"/>
                    </w:rPr>
                    <w:t>6</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硬质地面拆除</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4"/>
                    </w:rPr>
                    <w:t>7</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原有树池拆除</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4"/>
                    </w:rPr>
                    <w:t>8</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原有围栏拆除</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both"/>
                  </w:pPr>
                  <w:r>
                    <w:rPr>
                      <w:rFonts w:ascii="仿宋_GB2312" w:hAnsi="仿宋_GB2312" w:cs="仿宋_GB2312" w:eastAsia="仿宋_GB2312"/>
                      <w:sz w:val="24"/>
                    </w:rPr>
                    <w:t>9</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垃圾杂物清理</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4"/>
                    </w:rPr>
                    <w:t>10</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土壤改良</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4"/>
                    </w:rPr>
                    <w:t>11</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硬性支撑安装</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4"/>
                    </w:rPr>
                    <w:t>12</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新建锌钢围栏</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4"/>
                    </w:rPr>
                    <w:t>13</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树箍安装</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14</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30"/>
                    <w:ind w:left="120"/>
                    <w:jc w:val="both"/>
                  </w:pPr>
                  <w:r>
                    <w:rPr>
                      <w:rFonts w:ascii="仿宋_GB2312" w:hAnsi="仿宋_GB2312" w:cs="仿宋_GB2312" w:eastAsia="仿宋_GB2312"/>
                      <w:sz w:val="24"/>
                      <w:color w:val="000000"/>
                    </w:rPr>
                    <w:t>干扰木清理</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both"/>
                  </w:pPr>
                  <w:r>
                    <w:rPr>
                      <w:rFonts w:ascii="仿宋_GB2312" w:hAnsi="仿宋_GB2312" w:cs="仿宋_GB2312" w:eastAsia="仿宋_GB2312"/>
                      <w:sz w:val="24"/>
                    </w:rPr>
                    <w:t>15</w:t>
                  </w:r>
                </w:p>
              </w:tc>
              <w:tc>
                <w:tcPr>
                  <w:tcW w:type="dxa" w:w="2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挡土墙建设</w:t>
                  </w:r>
                </w:p>
              </w:tc>
            </w:tr>
          </w:tbl>
          <w:p>
            <w:pPr>
              <w:pStyle w:val="null3"/>
              <w:spacing w:before="285"/>
              <w:ind w:right="75"/>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分布区域及数量</w:t>
            </w:r>
          </w:p>
          <w:tbl>
            <w:tblPr>
              <w:tblInd w:type="dxa" w:w="375"/>
              <w:tblBorders>
                <w:top w:val="none" w:color="000000" w:sz="4"/>
                <w:left w:val="none" w:color="000000" w:sz="4"/>
                <w:bottom w:val="none" w:color="000000" w:sz="4"/>
                <w:right w:val="none" w:color="000000" w:sz="4"/>
                <w:insideH w:val="none"/>
                <w:insideV w:val="none"/>
              </w:tblBorders>
            </w:tblPr>
            <w:tblGrid>
              <w:gridCol w:w="628"/>
              <w:gridCol w:w="817"/>
              <w:gridCol w:w="1094"/>
            </w:tblGrid>
            <w:tr>
              <w:tc>
                <w:tcPr>
                  <w:tcW w:type="dxa" w:w="6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jc w:val="left"/>
                  </w:pPr>
                  <w:r>
                    <w:rPr>
                      <w:rFonts w:ascii="仿宋_GB2312" w:hAnsi="仿宋_GB2312" w:cs="仿宋_GB2312" w:eastAsia="仿宋_GB2312"/>
                      <w:sz w:val="24"/>
                      <w:color w:val="000000"/>
                    </w:rPr>
                    <w:t>序号</w:t>
                  </w:r>
                </w:p>
              </w:tc>
              <w:tc>
                <w:tcPr>
                  <w:tcW w:type="dxa" w:w="8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70"/>
                    <w:jc w:val="left"/>
                  </w:pPr>
                  <w:r>
                    <w:rPr>
                      <w:rFonts w:ascii="仿宋_GB2312" w:hAnsi="仿宋_GB2312" w:cs="仿宋_GB2312" w:eastAsia="仿宋_GB2312"/>
                      <w:sz w:val="24"/>
                      <w:color w:val="000000"/>
                    </w:rPr>
                    <w:t>乡镇</w:t>
                  </w:r>
                </w:p>
              </w:tc>
              <w:tc>
                <w:tcPr>
                  <w:tcW w:type="dxa" w:w="10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/株</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50"/>
                  </w:pPr>
                  <w:r>
                    <w:rPr>
                      <w:rFonts w:ascii="仿宋_GB2312" w:hAnsi="仿宋_GB2312" w:cs="仿宋_GB2312" w:eastAsia="仿宋_GB2312"/>
                      <w:sz w:val="24"/>
                      <w:color w:val="000000"/>
                    </w:rPr>
                    <w:t>1</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255"/>
                    <w:jc w:val="left"/>
                  </w:pPr>
                  <w:r>
                    <w:rPr>
                      <w:rFonts w:ascii="仿宋_GB2312" w:hAnsi="仿宋_GB2312" w:cs="仿宋_GB2312" w:eastAsia="仿宋_GB2312"/>
                      <w:sz w:val="24"/>
                      <w:color w:val="000000"/>
                    </w:rPr>
                    <w:t>洋州</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80"/>
                  </w:pPr>
                  <w:r>
                    <w:rPr>
                      <w:rFonts w:ascii="仿宋_GB2312" w:hAnsi="仿宋_GB2312" w:cs="仿宋_GB2312" w:eastAsia="仿宋_GB2312"/>
                      <w:sz w:val="24"/>
                      <w:color w:val="000000"/>
                    </w:rPr>
                    <w:t>15</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20"/>
                  </w:pPr>
                  <w:r>
                    <w:rPr>
                      <w:rFonts w:ascii="仿宋_GB2312" w:hAnsi="仿宋_GB2312" w:cs="仿宋_GB2312" w:eastAsia="仿宋_GB2312"/>
                      <w:sz w:val="24"/>
                      <w:color w:val="000000"/>
                    </w:rPr>
                    <w:t>2</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255"/>
                    <w:jc w:val="left"/>
                  </w:pPr>
                  <w:r>
                    <w:rPr>
                      <w:rFonts w:ascii="仿宋_GB2312" w:hAnsi="仿宋_GB2312" w:cs="仿宋_GB2312" w:eastAsia="仿宋_GB2312"/>
                      <w:sz w:val="24"/>
                      <w:color w:val="000000"/>
                    </w:rPr>
                    <w:t>纸坊</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50"/>
                  </w:pPr>
                  <w:r>
                    <w:rPr>
                      <w:rFonts w:ascii="仿宋_GB2312" w:hAnsi="仿宋_GB2312" w:cs="仿宋_GB2312" w:eastAsia="仿宋_GB2312"/>
                      <w:sz w:val="24"/>
                      <w:color w:val="000000"/>
                    </w:rPr>
                    <w:t>37</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35"/>
                  </w:pPr>
                  <w:r>
                    <w:rPr>
                      <w:rFonts w:ascii="仿宋_GB2312" w:hAnsi="仿宋_GB2312" w:cs="仿宋_GB2312" w:eastAsia="仿宋_GB2312"/>
                      <w:sz w:val="24"/>
                      <w:color w:val="000000"/>
                    </w:rPr>
                    <w:t>3</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戚氏</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825"/>
                  </w:pPr>
                  <w:r>
                    <w:rPr>
                      <w:rFonts w:ascii="仿宋_GB2312" w:hAnsi="仿宋_GB2312" w:cs="仿宋_GB2312" w:eastAsia="仿宋_GB2312"/>
                      <w:sz w:val="24"/>
                      <w:color w:val="000000"/>
                    </w:rPr>
                    <w:t>9</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20"/>
                  </w:pPr>
                  <w:r>
                    <w:rPr>
                      <w:rFonts w:ascii="仿宋_GB2312" w:hAnsi="仿宋_GB2312" w:cs="仿宋_GB2312" w:eastAsia="仿宋_GB2312"/>
                      <w:sz w:val="24"/>
                      <w:color w:val="000000"/>
                    </w:rPr>
                    <w:t>4</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龙亭</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50"/>
                  </w:pPr>
                  <w:r>
                    <w:rPr>
                      <w:rFonts w:ascii="仿宋_GB2312" w:hAnsi="仿宋_GB2312" w:cs="仿宋_GB2312" w:eastAsia="仿宋_GB2312"/>
                      <w:sz w:val="24"/>
                      <w:color w:val="000000"/>
                    </w:rPr>
                    <w:t>37</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35"/>
                  </w:pPr>
                  <w:r>
                    <w:rPr>
                      <w:rFonts w:ascii="仿宋_GB2312" w:hAnsi="仿宋_GB2312" w:cs="仿宋_GB2312" w:eastAsia="仿宋_GB2312"/>
                      <w:sz w:val="24"/>
                      <w:color w:val="000000"/>
                    </w:rPr>
                    <w:t>5</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left"/>
                  </w:pPr>
                  <w:r>
                    <w:rPr>
                      <w:rFonts w:ascii="仿宋_GB2312" w:hAnsi="仿宋_GB2312" w:cs="仿宋_GB2312" w:eastAsia="仿宋_GB2312"/>
                      <w:sz w:val="24"/>
                      <w:color w:val="000000"/>
                    </w:rPr>
                    <w:t>槐树关</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80"/>
                  </w:pPr>
                  <w:r>
                    <w:rPr>
                      <w:rFonts w:ascii="仿宋_GB2312" w:hAnsi="仿宋_GB2312" w:cs="仿宋_GB2312" w:eastAsia="仿宋_GB2312"/>
                      <w:sz w:val="24"/>
                      <w:color w:val="000000"/>
                    </w:rPr>
                    <w:t>13</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35"/>
                  </w:pPr>
                  <w:r>
                    <w:rPr>
                      <w:rFonts w:ascii="仿宋_GB2312" w:hAnsi="仿宋_GB2312" w:cs="仿宋_GB2312" w:eastAsia="仿宋_GB2312"/>
                      <w:sz w:val="24"/>
                      <w:color w:val="000000"/>
                    </w:rPr>
                    <w:t>6</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left"/>
                  </w:pPr>
                  <w:r>
                    <w:rPr>
                      <w:rFonts w:ascii="仿宋_GB2312" w:hAnsi="仿宋_GB2312" w:cs="仿宋_GB2312" w:eastAsia="仿宋_GB2312"/>
                      <w:sz w:val="24"/>
                      <w:color w:val="000000"/>
                    </w:rPr>
                    <w:t>八里关</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825"/>
                  </w:pPr>
                  <w:r>
                    <w:rPr>
                      <w:rFonts w:ascii="仿宋_GB2312" w:hAnsi="仿宋_GB2312" w:cs="仿宋_GB2312" w:eastAsia="仿宋_GB2312"/>
                      <w:sz w:val="24"/>
                      <w:color w:val="000000"/>
                    </w:rPr>
                    <w:t>3</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20"/>
                  </w:pPr>
                  <w:r>
                    <w:rPr>
                      <w:rFonts w:ascii="仿宋_GB2312" w:hAnsi="仿宋_GB2312" w:cs="仿宋_GB2312" w:eastAsia="仿宋_GB2312"/>
                      <w:sz w:val="24"/>
                      <w:color w:val="000000"/>
                    </w:rPr>
                    <w:t>7</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茅坪</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80"/>
                  </w:pPr>
                  <w:r>
                    <w:rPr>
                      <w:rFonts w:ascii="仿宋_GB2312" w:hAnsi="仿宋_GB2312" w:cs="仿宋_GB2312" w:eastAsia="仿宋_GB2312"/>
                      <w:sz w:val="24"/>
                      <w:color w:val="000000"/>
                    </w:rPr>
                    <w:t>19</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35"/>
                  </w:pPr>
                  <w:r>
                    <w:rPr>
                      <w:rFonts w:ascii="仿宋_GB2312" w:hAnsi="仿宋_GB2312" w:cs="仿宋_GB2312" w:eastAsia="仿宋_GB2312"/>
                      <w:sz w:val="24"/>
                      <w:color w:val="000000"/>
                    </w:rPr>
                    <w:t>8</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华阳</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825"/>
                  </w:pPr>
                  <w:r>
                    <w:rPr>
                      <w:rFonts w:ascii="仿宋_GB2312" w:hAnsi="仿宋_GB2312" w:cs="仿宋_GB2312" w:eastAsia="仿宋_GB2312"/>
                      <w:sz w:val="24"/>
                      <w:color w:val="000000"/>
                    </w:rPr>
                    <w:t>9</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20"/>
                  </w:pPr>
                  <w:r>
                    <w:rPr>
                      <w:rFonts w:ascii="仿宋_GB2312" w:hAnsi="仿宋_GB2312" w:cs="仿宋_GB2312" w:eastAsia="仿宋_GB2312"/>
                      <w:sz w:val="24"/>
                      <w:color w:val="000000"/>
                    </w:rPr>
                    <w:t>9</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溢水</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825"/>
                  </w:pPr>
                  <w:r>
                    <w:rPr>
                      <w:rFonts w:ascii="仿宋_GB2312" w:hAnsi="仿宋_GB2312" w:cs="仿宋_GB2312" w:eastAsia="仿宋_GB2312"/>
                      <w:sz w:val="24"/>
                      <w:color w:val="000000"/>
                    </w:rPr>
                    <w:t>7</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10</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left"/>
                  </w:pPr>
                  <w:r>
                    <w:rPr>
                      <w:rFonts w:ascii="仿宋_GB2312" w:hAnsi="仿宋_GB2312" w:cs="仿宋_GB2312" w:eastAsia="仿宋_GB2312"/>
                      <w:sz w:val="24"/>
                      <w:color w:val="000000"/>
                    </w:rPr>
                    <w:t>磨子桥</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80"/>
                  </w:pPr>
                  <w:r>
                    <w:rPr>
                      <w:rFonts w:ascii="仿宋_GB2312" w:hAnsi="仿宋_GB2312" w:cs="仿宋_GB2312" w:eastAsia="仿宋_GB2312"/>
                      <w:sz w:val="24"/>
                      <w:color w:val="000000"/>
                    </w:rPr>
                    <w:t>10</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90"/>
                  </w:pPr>
                  <w:r>
                    <w:rPr>
                      <w:rFonts w:ascii="仿宋_GB2312" w:hAnsi="仿宋_GB2312" w:cs="仿宋_GB2312" w:eastAsia="仿宋_GB2312"/>
                      <w:sz w:val="24"/>
                      <w:color w:val="000000"/>
                    </w:rPr>
                    <w:t>11</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金水</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80"/>
                  </w:pPr>
                  <w:r>
                    <w:rPr>
                      <w:rFonts w:ascii="仿宋_GB2312" w:hAnsi="仿宋_GB2312" w:cs="仿宋_GB2312" w:eastAsia="仿宋_GB2312"/>
                      <w:sz w:val="24"/>
                      <w:color w:val="000000"/>
                    </w:rPr>
                    <w:t>11</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12</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left"/>
                  </w:pPr>
                  <w:r>
                    <w:rPr>
                      <w:rFonts w:ascii="仿宋_GB2312" w:hAnsi="仿宋_GB2312" w:cs="仿宋_GB2312" w:eastAsia="仿宋_GB2312"/>
                      <w:sz w:val="24"/>
                      <w:color w:val="000000"/>
                    </w:rPr>
                    <w:t>黄金峡</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825"/>
                  </w:pPr>
                  <w:r>
                    <w:rPr>
                      <w:rFonts w:ascii="仿宋_GB2312" w:hAnsi="仿宋_GB2312" w:cs="仿宋_GB2312" w:eastAsia="仿宋_GB2312"/>
                      <w:sz w:val="24"/>
                      <w:color w:val="000000"/>
                    </w:rPr>
                    <w:t>4</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13</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70"/>
                    <w:jc w:val="left"/>
                  </w:pPr>
                  <w:r>
                    <w:rPr>
                      <w:rFonts w:ascii="仿宋_GB2312" w:hAnsi="仿宋_GB2312" w:cs="仿宋_GB2312" w:eastAsia="仿宋_GB2312"/>
                      <w:sz w:val="24"/>
                      <w:color w:val="000000"/>
                    </w:rPr>
                    <w:t>马畅</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825"/>
                  </w:pPr>
                  <w:r>
                    <w:rPr>
                      <w:rFonts w:ascii="仿宋_GB2312" w:hAnsi="仿宋_GB2312" w:cs="仿宋_GB2312" w:eastAsia="仿宋_GB2312"/>
                      <w:sz w:val="24"/>
                      <w:color w:val="000000"/>
                    </w:rPr>
                    <w:t>2</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14</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桑溪</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825"/>
                  </w:pPr>
                  <w:r>
                    <w:rPr>
                      <w:rFonts w:ascii="仿宋_GB2312" w:hAnsi="仿宋_GB2312" w:cs="仿宋_GB2312" w:eastAsia="仿宋_GB2312"/>
                      <w:sz w:val="24"/>
                      <w:color w:val="000000"/>
                    </w:rPr>
                    <w:t>3</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15</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谢村</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80"/>
                  </w:pPr>
                  <w:r>
                    <w:rPr>
                      <w:rFonts w:ascii="仿宋_GB2312" w:hAnsi="仿宋_GB2312" w:cs="仿宋_GB2312" w:eastAsia="仿宋_GB2312"/>
                      <w:sz w:val="24"/>
                      <w:color w:val="000000"/>
                    </w:rPr>
                    <w:t>13</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16</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黄安</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80"/>
                  </w:pPr>
                  <w:r>
                    <w:rPr>
                      <w:rFonts w:ascii="仿宋_GB2312" w:hAnsi="仿宋_GB2312" w:cs="仿宋_GB2312" w:eastAsia="仿宋_GB2312"/>
                      <w:sz w:val="24"/>
                      <w:color w:val="000000"/>
                    </w:rPr>
                    <w:t>13</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17</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jc w:val="left"/>
                  </w:pPr>
                  <w:r>
                    <w:rPr>
                      <w:rFonts w:ascii="仿宋_GB2312" w:hAnsi="仿宋_GB2312" w:cs="仿宋_GB2312" w:eastAsia="仿宋_GB2312"/>
                      <w:sz w:val="24"/>
                      <w:color w:val="000000"/>
                    </w:rPr>
                    <w:t>关帝</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80"/>
                  </w:pPr>
                  <w:r>
                    <w:rPr>
                      <w:rFonts w:ascii="仿宋_GB2312" w:hAnsi="仿宋_GB2312" w:cs="仿宋_GB2312" w:eastAsia="仿宋_GB2312"/>
                      <w:sz w:val="24"/>
                      <w:color w:val="000000"/>
                    </w:rPr>
                    <w:t>19</w:t>
                  </w:r>
                </w:p>
              </w:tc>
            </w:tr>
            <w:tr>
              <w:tc>
                <w:tcPr>
                  <w:tcW w:type="dxa" w:w="6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18</w:t>
                  </w:r>
                </w:p>
              </w:tc>
              <w:tc>
                <w:tcPr>
                  <w:tcW w:type="dxa" w:w="8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left"/>
                  </w:pPr>
                  <w:r>
                    <w:rPr>
                      <w:rFonts w:ascii="仿宋_GB2312" w:hAnsi="仿宋_GB2312" w:cs="仿宋_GB2312" w:eastAsia="仿宋_GB2312"/>
                      <w:sz w:val="24"/>
                      <w:color w:val="000000"/>
                    </w:rPr>
                    <w:t>黄家营</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80"/>
                  </w:pPr>
                  <w:r>
                    <w:rPr>
                      <w:rFonts w:ascii="仿宋_GB2312" w:hAnsi="仿宋_GB2312" w:cs="仿宋_GB2312" w:eastAsia="仿宋_GB2312"/>
                      <w:sz w:val="24"/>
                      <w:color w:val="000000"/>
                    </w:rPr>
                    <w:t>14</w:t>
                  </w:r>
                </w:p>
              </w:tc>
            </w:tr>
            <w:tr>
              <w:tc>
                <w:tcPr>
                  <w:tcW w:type="dxa" w:w="144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0"/>
                    <w:jc w:val="left"/>
                  </w:pPr>
                  <w:r>
                    <w:rPr>
                      <w:rFonts w:ascii="仿宋_GB2312" w:hAnsi="仿宋_GB2312" w:cs="仿宋_GB2312" w:eastAsia="仿宋_GB2312"/>
                      <w:sz w:val="24"/>
                      <w:color w:val="000000"/>
                    </w:rPr>
                    <w:t>合计</w:t>
                  </w:r>
                </w:p>
              </w:tc>
              <w:tc>
                <w:tcPr>
                  <w:tcW w:type="dxa" w:w="10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_GB2312" w:hAnsi="仿宋_GB2312" w:cs="仿宋_GB2312" w:eastAsia="仿宋_GB2312"/>
                      <w:sz w:val="24"/>
                      <w:color w:val="000000"/>
                    </w:rPr>
                    <w:t>238株</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 年 8 月完成项目验收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依照有关规定签订采购合同，项目验收合格支付合同费用，具体情况依据合同执行 </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1、在中标结果公示后，中标供应商向代理机构提交纸质投标文件叁份、分别胶装，加盖骑缝章，电子版U盘贰份，内容和通过电子化交易平台实施的政府采购项目提交的投标文件一致。 2、保证金若以金融机构、担保机构出具的保函形式则须在开标前一个工作日告知采购代理机构。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投标人须具备陕西省林学会颁发的林业有害生物防治丙级及以上资质证书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响应文件按招标要求进行电子签章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符合招标文件要求，响应文件内容齐全、无遗漏</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不存在其他不符合法律法规或招标文件规定的响应无效条款的情形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投标人提供2022年1月1日至今完成的类似业绩证明，每提供一份计2.5分，最高计5.0分；（以合同签订日期为准） 注：业绩须是供应商完成的类似项目，以中标通知书或协议书（合同）加盖公章的复印件为准。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投标人针对本项目投入的工器具配置方案，包括但不限于：①配置清单及供应保障措施；②维护方案。 以上各项内容全面明确、阐述条理清晰得5分，每缺一项扣2.5分，每项中的内容存在缺陷，扣0.1-2.4分。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针对本项目提出适用于本项目的项目团队人员配置方案，包括但不限于①团队组织人员配置明细；②团队人员管理制度；③各专业岗位配置；④配置人员相关证书证件及工作经验；⑤提供人员到场及不更换人员承诺。 以上各项内容全面明确、阐述条理清晰得10分，每缺一项扣2分，每项中的内容存在缺陷，扣0.1-1.9分。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投标人针对本项目提出适用于本项目的实施方案。包括但不限于：①项目实施目标及认知；②施工措施；③保护复壮方案;④验收交付方案；⑤针对本项目特点、难点的认识及对策措施。 以上各项内容全面明确、阐述条理清晰得20分，每缺一项扣4分，每项中的内容存在缺陷，扣0.1-3.9分。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投标人针对本项目提出适用于本项目的质量保证方案。包括但不限于：①质量保证体系；②质量保证的具体措施。 以上各项内容全面明确、阐述条理清晰得10分，每缺一项扣5分，每项中的内容存在缺陷，扣0.1-4.9分。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投标人针对本项目提出适用于本项目的实施进度方案，包括但不限于:①进度计划表；②进度保障的具体措施。 以上各项内容全面明确、阐述条理清晰得8分，每缺一项扣4分，每项中的内容存在缺陷，扣0.1-3.9分。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投标人针对本项目提出适用于本项目的野外作业安全措施及应急管理方案，包括但不限于:①防火措施；②作业安全保障措施；③作业应急管理方案。 以上各项内容全面明确、阐述条理清晰得9分，每缺一项扣3分，每项中的内容存在缺陷，扣0.1-2.9分。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生物多样性保护与环境保护措施</w:t>
            </w:r>
          </w:p>
        </w:tc>
        <w:tc>
          <w:tcPr>
            <w:tcW w:type="dxa" w:w="2492"/>
          </w:tcPr>
          <w:p>
            <w:pPr>
              <w:pStyle w:val="null3"/>
            </w:pPr>
            <w:r>
              <w:rPr>
                <w:rFonts w:ascii="仿宋_GB2312" w:hAnsi="仿宋_GB2312" w:cs="仿宋_GB2312" w:eastAsia="仿宋_GB2312"/>
              </w:rPr>
              <w:t>投标人针对本项目提出适用于本项目的生物多样性与环境保护措施，包括但不限于:①生物多样性保护措施；②环境保护措施。 以上各项内容全面明确、阐述条理清晰得6分，每缺一项扣3分，每项中的内容存在缺陷，扣0.1-2.9分。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后期服务方案及承诺</w:t>
            </w:r>
          </w:p>
        </w:tc>
        <w:tc>
          <w:tcPr>
            <w:tcW w:type="dxa" w:w="2492"/>
          </w:tcPr>
          <w:p>
            <w:pPr>
              <w:pStyle w:val="null3"/>
            </w:pPr>
            <w:r>
              <w:rPr>
                <w:rFonts w:ascii="仿宋_GB2312" w:hAnsi="仿宋_GB2312" w:cs="仿宋_GB2312" w:eastAsia="仿宋_GB2312"/>
              </w:rPr>
              <w:t>投标人针对本项目提出适用于本项目的后期服务方案及承诺，包括但不限于：①现有服务体系方案；②服务网点固定场所（服务人员名单、职责和联系方式）；③后期服务方案及承诺；④后期养护管理方案。 以上各项内容全面明确、阐述条理清晰得12分，每缺一项扣3分，每项中的内容存在缺陷，扣0.1-2.9分。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数据管理方案</w:t>
            </w:r>
          </w:p>
        </w:tc>
        <w:tc>
          <w:tcPr>
            <w:tcW w:type="dxa" w:w="2492"/>
          </w:tcPr>
          <w:p>
            <w:pPr>
              <w:pStyle w:val="null3"/>
            </w:pPr>
            <w:r>
              <w:rPr>
                <w:rFonts w:ascii="仿宋_GB2312" w:hAnsi="仿宋_GB2312" w:cs="仿宋_GB2312" w:eastAsia="仿宋_GB2312"/>
              </w:rPr>
              <w:t>投标人针对本项目所有信息的管理措施:①数据库管理方案；②后期监管体系及措施。 以上各项内容全面明确、阐述条理清晰得5分，每缺一项扣2.5分，每项中的内容存在缺陷，扣0.1-2.4分。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