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751B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供应商应具备建设行政部门颁发的建筑工程施工总承包三级（含三级）及其以上资质，安全生产许可证合格有效；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p w14:paraId="545326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87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2025-12-24T13:54:31Z</dcterms:created>
  <dc:creator>Administrator</dc:creator>
  <cp:lastModifiedBy>*笨</cp:lastModifiedBy>
  <dcterms:modified xsi:type="dcterms:W3CDTF">2025-12-24T13:55:10Z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eyJoZGlkIjoiYmQ0ZWMzN2E1ODQyYWY4NDVkYWYzNjYxMWJhZTA2NWYiLCJ1c2VySWQiOiIyMTY4NTE3MzUifQ==</vt:lpwstr>
  </property>
  <property fmtid="{D5CDD505-2E9C-101B-9397-08002B2CF9AE}" pid="4" name="ICV">
    <vt:lpwstr>BD85F8A7F474463BB1E62319EF8A6D4C_12</vt:lpwstr>
  </property>
</Properties>
</file>