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0C6976">
      <w:pPr>
        <w:numPr>
          <w:ilvl w:val="0"/>
          <w:numId w:val="0"/>
        </w:numPr>
        <w:spacing w:line="500" w:lineRule="exact"/>
        <w:jc w:val="center"/>
        <w:outlineLvl w:val="0"/>
        <w:rPr>
          <w:rFonts w:hint="eastAsia" w:ascii="宋体" w:hAnsi="宋体" w:eastAsia="宋体" w:cs="宋体"/>
          <w:b/>
          <w:color w:val="auto"/>
          <w:kern w:val="2"/>
          <w:sz w:val="36"/>
          <w:szCs w:val="36"/>
          <w:lang w:val="en-US" w:eastAsia="zh-CN" w:bidi="ar-SA"/>
        </w:rPr>
      </w:pPr>
      <w:r>
        <w:rPr>
          <w:rFonts w:hint="eastAsia" w:ascii="宋体" w:hAnsi="宋体" w:eastAsia="宋体" w:cs="宋体"/>
          <w:b/>
          <w:color w:val="auto"/>
          <w:kern w:val="2"/>
          <w:sz w:val="36"/>
          <w:szCs w:val="36"/>
          <w:lang w:val="en-US" w:eastAsia="zh-CN" w:bidi="ar-SA"/>
        </w:rPr>
        <w:t xml:space="preserve"> 合同条款及格式</w:t>
      </w:r>
      <w:r>
        <w:rPr>
          <w:rFonts w:hint="eastAsia" w:ascii="宋体" w:hAnsi="宋体" w:cs="宋体"/>
          <w:b/>
          <w:color w:val="auto"/>
          <w:kern w:val="2"/>
          <w:sz w:val="36"/>
          <w:szCs w:val="36"/>
          <w:lang w:val="en-US" w:eastAsia="zh-CN" w:bidi="ar-SA"/>
        </w:rPr>
        <w:t>（仅供参考）</w:t>
      </w:r>
    </w:p>
    <w:p w14:paraId="76333BA8">
      <w:pPr>
        <w:pStyle w:val="6"/>
        <w:ind w:firstLine="563"/>
        <w:rPr>
          <w:rFonts w:hint="eastAsia" w:ascii="宋体" w:hAnsi="宋体" w:eastAsia="宋体" w:cs="宋体"/>
          <w:b/>
          <w:sz w:val="28"/>
          <w:szCs w:val="28"/>
        </w:rPr>
      </w:pPr>
    </w:p>
    <w:p w14:paraId="6B075901">
      <w:pPr>
        <w:spacing w:line="360" w:lineRule="exact"/>
        <w:jc w:val="center"/>
        <w:outlineLvl w:val="1"/>
        <w:rPr>
          <w:rFonts w:hint="eastAsia" w:ascii="宋体" w:hAnsi="宋体" w:eastAsia="宋体" w:cs="宋体"/>
          <w:sz w:val="24"/>
        </w:rPr>
      </w:pPr>
      <w:bookmarkStart w:id="0" w:name="_Toc23978"/>
      <w:bookmarkStart w:id="1" w:name="_Toc22420"/>
      <w:bookmarkStart w:id="2" w:name="_Toc23434"/>
      <w:r>
        <w:rPr>
          <w:rFonts w:hint="eastAsia" w:ascii="宋体" w:hAnsi="宋体" w:eastAsia="宋体" w:cs="宋体"/>
          <w:sz w:val="24"/>
        </w:rPr>
        <w:t>第一节　“通用合同条款”采用《标准施工招标文件》的“通用合同条款”；</w:t>
      </w:r>
      <w:bookmarkEnd w:id="0"/>
      <w:bookmarkEnd w:id="1"/>
      <w:bookmarkEnd w:id="2"/>
    </w:p>
    <w:p w14:paraId="3B8B6BD3">
      <w:pPr>
        <w:spacing w:line="360" w:lineRule="exact"/>
        <w:jc w:val="center"/>
        <w:rPr>
          <w:rFonts w:hint="eastAsia" w:ascii="宋体" w:hAnsi="宋体" w:eastAsia="宋体" w:cs="宋体"/>
          <w:sz w:val="24"/>
        </w:rPr>
      </w:pPr>
    </w:p>
    <w:p w14:paraId="145D83F9">
      <w:pPr>
        <w:spacing w:line="360" w:lineRule="exact"/>
        <w:jc w:val="center"/>
        <w:outlineLvl w:val="1"/>
        <w:rPr>
          <w:rFonts w:hint="eastAsia" w:ascii="宋体" w:hAnsi="宋体" w:eastAsia="宋体" w:cs="宋体"/>
          <w:b/>
          <w:bCs/>
          <w:sz w:val="24"/>
        </w:rPr>
      </w:pPr>
      <w:bookmarkStart w:id="3" w:name="_Toc10492"/>
      <w:bookmarkStart w:id="4" w:name="_Toc5004"/>
      <w:bookmarkStart w:id="5" w:name="_Toc18142"/>
      <w:r>
        <w:rPr>
          <w:rFonts w:hint="eastAsia" w:ascii="宋体" w:hAnsi="宋体" w:eastAsia="宋体" w:cs="宋体"/>
          <w:b/>
          <w:bCs/>
          <w:sz w:val="24"/>
        </w:rPr>
        <w:t>第二节　专用合同条款</w:t>
      </w:r>
      <w:bookmarkEnd w:id="3"/>
      <w:bookmarkEnd w:id="4"/>
      <w:bookmarkEnd w:id="5"/>
    </w:p>
    <w:p w14:paraId="7F33B764">
      <w:pPr>
        <w:spacing w:line="360" w:lineRule="exact"/>
        <w:rPr>
          <w:rFonts w:hint="eastAsia" w:ascii="宋体" w:hAnsi="宋体" w:eastAsia="宋体" w:cs="宋体"/>
          <w:sz w:val="24"/>
        </w:rPr>
      </w:pPr>
      <w:r>
        <w:rPr>
          <w:rFonts w:hint="eastAsia" w:ascii="宋体" w:hAnsi="宋体" w:eastAsia="宋体" w:cs="宋体"/>
          <w:sz w:val="24"/>
        </w:rPr>
        <w:t>A、“公路工程专用合同条款”采用《公路工程标准施工招标文件》（2018年版）上册）的“公路工程专用合同条款”；</w:t>
      </w:r>
    </w:p>
    <w:p w14:paraId="31326756">
      <w:pPr>
        <w:spacing w:line="360" w:lineRule="exact"/>
        <w:rPr>
          <w:rFonts w:hint="eastAsia" w:ascii="宋体" w:hAnsi="宋体" w:eastAsia="宋体" w:cs="宋体"/>
          <w:sz w:val="24"/>
        </w:rPr>
      </w:pPr>
      <w:r>
        <w:rPr>
          <w:rFonts w:hint="eastAsia" w:ascii="宋体" w:hAnsi="宋体" w:eastAsia="宋体" w:cs="宋体"/>
          <w:sz w:val="24"/>
        </w:rPr>
        <w:t>B、项目专用合同条款</w:t>
      </w:r>
    </w:p>
    <w:p w14:paraId="2F8E7E9E">
      <w:pPr>
        <w:spacing w:line="360" w:lineRule="exact"/>
        <w:jc w:val="center"/>
        <w:rPr>
          <w:rFonts w:hint="eastAsia" w:ascii="宋体" w:hAnsi="宋体" w:eastAsia="宋体" w:cs="宋体"/>
          <w:b/>
          <w:sz w:val="24"/>
        </w:rPr>
      </w:pPr>
      <w:bookmarkStart w:id="6" w:name="_Toc11098"/>
      <w:r>
        <w:rPr>
          <w:rFonts w:hint="eastAsia" w:ascii="宋体" w:hAnsi="宋体" w:eastAsia="宋体" w:cs="宋体"/>
          <w:b/>
          <w:sz w:val="24"/>
        </w:rPr>
        <w:t>项目专用合同条款数据表</w:t>
      </w:r>
      <w:bookmarkEnd w:id="6"/>
    </w:p>
    <w:p w14:paraId="2F46A8E5">
      <w:pPr>
        <w:spacing w:line="360" w:lineRule="exact"/>
        <w:rPr>
          <w:rFonts w:hint="eastAsia" w:ascii="宋体" w:hAnsi="宋体" w:eastAsia="宋体" w:cs="宋体"/>
          <w:sz w:val="24"/>
        </w:rPr>
      </w:pPr>
      <w:r>
        <w:rPr>
          <w:rFonts w:hint="eastAsia" w:ascii="宋体" w:hAnsi="宋体" w:eastAsia="宋体" w:cs="宋体"/>
          <w:sz w:val="24"/>
        </w:rPr>
        <w:t>说明：本数据表是项目专用合同条款中适用于本项目的信息和数据的归纳与提示，是项目专用合同条款的组成部分。</w:t>
      </w:r>
    </w:p>
    <w:tbl>
      <w:tblPr>
        <w:tblStyle w:val="4"/>
        <w:tblpPr w:leftFromText="180" w:rightFromText="180" w:vertAnchor="text" w:horzAnchor="page" w:tblpX="1421" w:tblpY="551"/>
        <w:tblOverlap w:val="never"/>
        <w:tblW w:w="9276" w:type="dxa"/>
        <w:tblInd w:w="0" w:type="dxa"/>
        <w:tblLayout w:type="fixed"/>
        <w:tblCellMar>
          <w:top w:w="0" w:type="dxa"/>
          <w:left w:w="108" w:type="dxa"/>
          <w:bottom w:w="0" w:type="dxa"/>
          <w:right w:w="108" w:type="dxa"/>
        </w:tblCellMar>
      </w:tblPr>
      <w:tblGrid>
        <w:gridCol w:w="720"/>
        <w:gridCol w:w="1176"/>
        <w:gridCol w:w="7380"/>
      </w:tblGrid>
      <w:tr w14:paraId="2EBAB411">
        <w:tblPrEx>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noWrap w:val="0"/>
            <w:vAlign w:val="top"/>
          </w:tcPr>
          <w:p w14:paraId="002722D2">
            <w:pPr>
              <w:spacing w:line="400" w:lineRule="exact"/>
              <w:jc w:val="center"/>
              <w:rPr>
                <w:rFonts w:hint="eastAsia" w:ascii="宋体" w:hAnsi="宋体" w:eastAsia="宋体" w:cs="宋体"/>
                <w:b/>
                <w:sz w:val="24"/>
              </w:rPr>
            </w:pPr>
            <w:r>
              <w:rPr>
                <w:rFonts w:hint="eastAsia" w:ascii="宋体" w:hAnsi="宋体" w:eastAsia="宋体" w:cs="宋体"/>
                <w:b/>
                <w:sz w:val="24"/>
              </w:rPr>
              <w:t>序号</w:t>
            </w:r>
          </w:p>
        </w:tc>
        <w:tc>
          <w:tcPr>
            <w:tcW w:w="1176" w:type="dxa"/>
            <w:tcBorders>
              <w:top w:val="single" w:color="auto" w:sz="4" w:space="0"/>
              <w:left w:val="single" w:color="auto" w:sz="4" w:space="0"/>
              <w:bottom w:val="single" w:color="auto" w:sz="4" w:space="0"/>
              <w:right w:val="single" w:color="auto" w:sz="4" w:space="0"/>
            </w:tcBorders>
            <w:noWrap w:val="0"/>
            <w:vAlign w:val="top"/>
          </w:tcPr>
          <w:p w14:paraId="3B941FF8">
            <w:pPr>
              <w:spacing w:line="400" w:lineRule="exact"/>
              <w:jc w:val="center"/>
              <w:rPr>
                <w:rFonts w:hint="eastAsia" w:ascii="宋体" w:hAnsi="宋体" w:eastAsia="宋体" w:cs="宋体"/>
                <w:b/>
                <w:sz w:val="24"/>
              </w:rPr>
            </w:pPr>
            <w:r>
              <w:rPr>
                <w:rFonts w:hint="eastAsia" w:ascii="宋体" w:hAnsi="宋体" w:eastAsia="宋体" w:cs="宋体"/>
                <w:b/>
                <w:sz w:val="24"/>
              </w:rPr>
              <w:t>条目号</w:t>
            </w:r>
          </w:p>
        </w:tc>
        <w:tc>
          <w:tcPr>
            <w:tcW w:w="7380" w:type="dxa"/>
            <w:tcBorders>
              <w:top w:val="single" w:color="auto" w:sz="4" w:space="0"/>
              <w:left w:val="single" w:color="auto" w:sz="4" w:space="0"/>
              <w:bottom w:val="single" w:color="auto" w:sz="4" w:space="0"/>
              <w:right w:val="single" w:color="auto" w:sz="4" w:space="0"/>
            </w:tcBorders>
            <w:noWrap w:val="0"/>
            <w:vAlign w:val="top"/>
          </w:tcPr>
          <w:p w14:paraId="0FEDBA12">
            <w:pPr>
              <w:spacing w:line="400" w:lineRule="exact"/>
              <w:jc w:val="center"/>
              <w:rPr>
                <w:rFonts w:hint="eastAsia" w:ascii="宋体" w:hAnsi="宋体" w:eastAsia="宋体" w:cs="宋体"/>
                <w:b/>
                <w:sz w:val="24"/>
              </w:rPr>
            </w:pPr>
            <w:r>
              <w:rPr>
                <w:rFonts w:hint="eastAsia" w:ascii="宋体" w:hAnsi="宋体" w:eastAsia="宋体" w:cs="宋体"/>
                <w:b/>
                <w:sz w:val="24"/>
              </w:rPr>
              <w:t>信　息　或　数　据</w:t>
            </w:r>
          </w:p>
        </w:tc>
      </w:tr>
      <w:tr w14:paraId="233C956B">
        <w:tblPrEx>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noWrap w:val="0"/>
            <w:vAlign w:val="center"/>
          </w:tcPr>
          <w:p w14:paraId="36DBA328">
            <w:pPr>
              <w:spacing w:line="400" w:lineRule="exact"/>
              <w:jc w:val="center"/>
              <w:rPr>
                <w:rFonts w:hint="eastAsia" w:ascii="宋体" w:hAnsi="宋体" w:eastAsia="宋体" w:cs="宋体"/>
                <w:sz w:val="24"/>
              </w:rPr>
            </w:pPr>
            <w:r>
              <w:rPr>
                <w:rFonts w:hint="eastAsia" w:ascii="宋体" w:hAnsi="宋体" w:eastAsia="宋体" w:cs="宋体"/>
                <w:sz w:val="24"/>
              </w:rPr>
              <w:t>1</w:t>
            </w:r>
          </w:p>
        </w:tc>
        <w:tc>
          <w:tcPr>
            <w:tcW w:w="1176" w:type="dxa"/>
            <w:tcBorders>
              <w:top w:val="single" w:color="auto" w:sz="4" w:space="0"/>
              <w:left w:val="single" w:color="auto" w:sz="4" w:space="0"/>
              <w:bottom w:val="single" w:color="auto" w:sz="4" w:space="0"/>
              <w:right w:val="single" w:color="auto" w:sz="4" w:space="0"/>
            </w:tcBorders>
            <w:noWrap w:val="0"/>
            <w:vAlign w:val="center"/>
          </w:tcPr>
          <w:p w14:paraId="51061F5D">
            <w:pPr>
              <w:spacing w:line="400" w:lineRule="exact"/>
              <w:jc w:val="center"/>
              <w:rPr>
                <w:rFonts w:hint="eastAsia" w:ascii="宋体" w:hAnsi="宋体" w:eastAsia="宋体" w:cs="宋体"/>
                <w:sz w:val="24"/>
              </w:rPr>
            </w:pPr>
            <w:r>
              <w:rPr>
                <w:rFonts w:hint="eastAsia" w:ascii="宋体" w:hAnsi="宋体" w:eastAsia="宋体" w:cs="宋体"/>
                <w:sz w:val="24"/>
              </w:rPr>
              <w:t>1.1.2.2</w:t>
            </w:r>
          </w:p>
        </w:tc>
        <w:tc>
          <w:tcPr>
            <w:tcW w:w="7380" w:type="dxa"/>
            <w:tcBorders>
              <w:top w:val="single" w:color="auto" w:sz="4" w:space="0"/>
              <w:left w:val="single" w:color="auto" w:sz="4" w:space="0"/>
              <w:bottom w:val="single" w:color="auto" w:sz="4" w:space="0"/>
              <w:right w:val="single" w:color="auto" w:sz="4" w:space="0"/>
            </w:tcBorders>
            <w:noWrap w:val="0"/>
            <w:vAlign w:val="top"/>
          </w:tcPr>
          <w:p w14:paraId="667FD253">
            <w:pPr>
              <w:spacing w:line="360" w:lineRule="exact"/>
              <w:rPr>
                <w:rFonts w:hint="default" w:ascii="宋体" w:hAnsi="宋体" w:eastAsia="宋体" w:cs="宋体"/>
                <w:sz w:val="24"/>
                <w:highlight w:val="none"/>
                <w:lang w:val="en-US"/>
              </w:rPr>
            </w:pPr>
            <w:r>
              <w:rPr>
                <w:rFonts w:hint="eastAsia" w:ascii="宋体" w:hAnsi="宋体" w:eastAsia="宋体" w:cs="宋体"/>
                <w:sz w:val="24"/>
              </w:rPr>
              <w:t>发包人：</w:t>
            </w:r>
            <w:r>
              <w:rPr>
                <w:rFonts w:hint="eastAsia" w:ascii="宋体" w:hAnsi="宋体" w:cs="宋体"/>
                <w:sz w:val="24"/>
                <w:lang w:val="en-US" w:eastAsia="zh-CN"/>
              </w:rPr>
              <w:t xml:space="preserve"> </w:t>
            </w:r>
          </w:p>
          <w:p w14:paraId="120527C1">
            <w:pPr>
              <w:spacing w:line="360" w:lineRule="exact"/>
              <w:rPr>
                <w:rFonts w:hint="eastAsia" w:ascii="宋体" w:hAnsi="宋体" w:eastAsia="宋体" w:cs="宋体"/>
                <w:sz w:val="24"/>
              </w:rPr>
            </w:pPr>
            <w:r>
              <w:rPr>
                <w:rFonts w:hint="eastAsia" w:ascii="宋体" w:hAnsi="宋体" w:eastAsia="宋体" w:cs="宋体"/>
                <w:sz w:val="24"/>
                <w:highlight w:val="none"/>
              </w:rPr>
              <w:t>地　址：</w:t>
            </w:r>
            <w:r>
              <w:rPr>
                <w:rFonts w:hint="eastAsia" w:ascii="宋体" w:hAnsi="宋体" w:cs="宋体"/>
                <w:sz w:val="24"/>
                <w:highlight w:val="none"/>
                <w:lang w:val="en-US" w:eastAsia="zh-CN"/>
              </w:rPr>
              <w:t xml:space="preserve"> </w:t>
            </w:r>
            <w:r>
              <w:rPr>
                <w:rFonts w:hint="eastAsia" w:ascii="宋体" w:hAnsi="宋体" w:eastAsia="宋体" w:cs="宋体"/>
                <w:sz w:val="24"/>
              </w:rPr>
              <w:t xml:space="preserve">   </w:t>
            </w:r>
          </w:p>
        </w:tc>
      </w:tr>
      <w:tr w14:paraId="157D04CD">
        <w:tblPrEx>
          <w:tblCellMar>
            <w:top w:w="0" w:type="dxa"/>
            <w:left w:w="108" w:type="dxa"/>
            <w:bottom w:w="0" w:type="dxa"/>
            <w:right w:w="108" w:type="dxa"/>
          </w:tblCellMar>
        </w:tblPrEx>
        <w:trPr>
          <w:trHeight w:val="360" w:hRule="atLeast"/>
        </w:trPr>
        <w:tc>
          <w:tcPr>
            <w:tcW w:w="720" w:type="dxa"/>
            <w:tcBorders>
              <w:top w:val="single" w:color="auto" w:sz="4" w:space="0"/>
              <w:left w:val="single" w:color="auto" w:sz="4" w:space="0"/>
              <w:bottom w:val="single" w:color="auto" w:sz="4" w:space="0"/>
              <w:right w:val="single" w:color="auto" w:sz="4" w:space="0"/>
            </w:tcBorders>
            <w:noWrap w:val="0"/>
            <w:vAlign w:val="center"/>
          </w:tcPr>
          <w:p w14:paraId="19ECEE26">
            <w:pPr>
              <w:spacing w:line="400" w:lineRule="exact"/>
              <w:jc w:val="center"/>
              <w:rPr>
                <w:rFonts w:hint="eastAsia" w:ascii="宋体" w:hAnsi="宋体" w:eastAsia="宋体" w:cs="宋体"/>
                <w:sz w:val="24"/>
              </w:rPr>
            </w:pPr>
            <w:r>
              <w:rPr>
                <w:rFonts w:hint="eastAsia" w:ascii="宋体" w:hAnsi="宋体" w:eastAsia="宋体" w:cs="宋体"/>
                <w:sz w:val="24"/>
              </w:rPr>
              <w:t>2</w:t>
            </w:r>
          </w:p>
        </w:tc>
        <w:tc>
          <w:tcPr>
            <w:tcW w:w="1176" w:type="dxa"/>
            <w:tcBorders>
              <w:top w:val="single" w:color="auto" w:sz="4" w:space="0"/>
              <w:left w:val="single" w:color="auto" w:sz="4" w:space="0"/>
              <w:bottom w:val="single" w:color="auto" w:sz="4" w:space="0"/>
              <w:right w:val="single" w:color="auto" w:sz="4" w:space="0"/>
            </w:tcBorders>
            <w:noWrap w:val="0"/>
            <w:vAlign w:val="center"/>
          </w:tcPr>
          <w:p w14:paraId="78DC4FB5">
            <w:pPr>
              <w:spacing w:line="400" w:lineRule="exact"/>
              <w:jc w:val="center"/>
              <w:rPr>
                <w:rFonts w:hint="eastAsia" w:ascii="宋体" w:hAnsi="宋体" w:eastAsia="宋体" w:cs="宋体"/>
                <w:sz w:val="24"/>
              </w:rPr>
            </w:pPr>
            <w:r>
              <w:rPr>
                <w:rFonts w:hint="eastAsia" w:ascii="宋体" w:hAnsi="宋体" w:eastAsia="宋体" w:cs="宋体"/>
                <w:sz w:val="24"/>
              </w:rPr>
              <w:t>1.1.2.6</w:t>
            </w:r>
          </w:p>
        </w:tc>
        <w:tc>
          <w:tcPr>
            <w:tcW w:w="7380" w:type="dxa"/>
            <w:tcBorders>
              <w:top w:val="single" w:color="auto" w:sz="4" w:space="0"/>
              <w:left w:val="single" w:color="auto" w:sz="4" w:space="0"/>
              <w:bottom w:val="single" w:color="auto" w:sz="4" w:space="0"/>
              <w:right w:val="single" w:color="auto" w:sz="4" w:space="0"/>
            </w:tcBorders>
            <w:noWrap w:val="0"/>
            <w:vAlign w:val="top"/>
          </w:tcPr>
          <w:p w14:paraId="082785D3">
            <w:pPr>
              <w:spacing w:line="360" w:lineRule="exact"/>
              <w:rPr>
                <w:rFonts w:hint="eastAsia" w:ascii="宋体" w:hAnsi="宋体" w:eastAsia="宋体" w:cs="宋体"/>
                <w:sz w:val="24"/>
              </w:rPr>
            </w:pPr>
            <w:r>
              <w:rPr>
                <w:rFonts w:hint="eastAsia" w:ascii="宋体" w:hAnsi="宋体" w:eastAsia="宋体" w:cs="宋体"/>
                <w:sz w:val="24"/>
              </w:rPr>
              <w:t>监理人：由发包人以书面形式通知承包人。</w:t>
            </w:r>
          </w:p>
        </w:tc>
      </w:tr>
      <w:tr w14:paraId="7ACBD25E">
        <w:tblPrEx>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noWrap w:val="0"/>
            <w:vAlign w:val="center"/>
          </w:tcPr>
          <w:p w14:paraId="3685DB10">
            <w:pPr>
              <w:spacing w:line="400" w:lineRule="exact"/>
              <w:jc w:val="center"/>
              <w:rPr>
                <w:rFonts w:hint="eastAsia" w:ascii="宋体" w:hAnsi="宋体" w:eastAsia="宋体" w:cs="宋体"/>
                <w:sz w:val="24"/>
              </w:rPr>
            </w:pPr>
            <w:r>
              <w:rPr>
                <w:rFonts w:hint="eastAsia" w:ascii="宋体" w:hAnsi="宋体" w:eastAsia="宋体" w:cs="宋体"/>
                <w:sz w:val="24"/>
              </w:rPr>
              <w:t>3</w:t>
            </w:r>
          </w:p>
        </w:tc>
        <w:tc>
          <w:tcPr>
            <w:tcW w:w="1176" w:type="dxa"/>
            <w:tcBorders>
              <w:top w:val="single" w:color="auto" w:sz="4" w:space="0"/>
              <w:left w:val="single" w:color="auto" w:sz="4" w:space="0"/>
              <w:bottom w:val="single" w:color="auto" w:sz="4" w:space="0"/>
              <w:right w:val="single" w:color="auto" w:sz="4" w:space="0"/>
            </w:tcBorders>
            <w:noWrap w:val="0"/>
            <w:vAlign w:val="center"/>
          </w:tcPr>
          <w:p w14:paraId="684D2B0F">
            <w:pPr>
              <w:spacing w:line="400" w:lineRule="exact"/>
              <w:jc w:val="center"/>
              <w:rPr>
                <w:rFonts w:hint="eastAsia" w:ascii="宋体" w:hAnsi="宋体" w:eastAsia="宋体" w:cs="宋体"/>
                <w:sz w:val="24"/>
              </w:rPr>
            </w:pPr>
            <w:r>
              <w:rPr>
                <w:rFonts w:hint="eastAsia" w:ascii="宋体" w:hAnsi="宋体" w:eastAsia="宋体" w:cs="宋体"/>
                <w:sz w:val="24"/>
              </w:rPr>
              <w:t>1.1.4.5</w:t>
            </w:r>
          </w:p>
        </w:tc>
        <w:tc>
          <w:tcPr>
            <w:tcW w:w="7380" w:type="dxa"/>
            <w:tcBorders>
              <w:top w:val="single" w:color="auto" w:sz="4" w:space="0"/>
              <w:left w:val="single" w:color="auto" w:sz="4" w:space="0"/>
              <w:bottom w:val="single" w:color="auto" w:sz="4" w:space="0"/>
              <w:right w:val="single" w:color="auto" w:sz="4" w:space="0"/>
            </w:tcBorders>
            <w:noWrap w:val="0"/>
            <w:vAlign w:val="top"/>
          </w:tcPr>
          <w:p w14:paraId="2E8FFA0B">
            <w:pPr>
              <w:spacing w:line="360" w:lineRule="exact"/>
              <w:rPr>
                <w:rFonts w:hint="eastAsia" w:ascii="宋体" w:hAnsi="宋体" w:eastAsia="宋体" w:cs="宋体"/>
                <w:sz w:val="24"/>
              </w:rPr>
            </w:pPr>
            <w:r>
              <w:rPr>
                <w:rFonts w:hint="eastAsia" w:ascii="宋体" w:hAnsi="宋体" w:eastAsia="宋体" w:cs="宋体"/>
                <w:sz w:val="24"/>
              </w:rPr>
              <w:t>缺陷责任期：自实际交工日期起计算</w:t>
            </w:r>
            <w:r>
              <w:rPr>
                <w:rFonts w:hint="eastAsia" w:ascii="宋体" w:hAnsi="宋体" w:cs="宋体"/>
                <w:color w:val="000000"/>
                <w:sz w:val="24"/>
                <w:u w:val="single"/>
                <w:lang w:val="en-US" w:eastAsia="zh-CN"/>
              </w:rPr>
              <w:t xml:space="preserve">    </w:t>
            </w:r>
            <w:r>
              <w:rPr>
                <w:rFonts w:hint="eastAsia" w:ascii="宋体" w:hAnsi="宋体" w:eastAsia="宋体" w:cs="宋体"/>
                <w:sz w:val="24"/>
              </w:rPr>
              <w:t>年。</w:t>
            </w:r>
          </w:p>
        </w:tc>
      </w:tr>
      <w:tr w14:paraId="59BA4ECD">
        <w:tblPrEx>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noWrap w:val="0"/>
            <w:vAlign w:val="center"/>
          </w:tcPr>
          <w:p w14:paraId="03F90304">
            <w:pPr>
              <w:spacing w:line="400" w:lineRule="exact"/>
              <w:jc w:val="center"/>
              <w:rPr>
                <w:rFonts w:hint="eastAsia" w:ascii="宋体" w:hAnsi="宋体" w:eastAsia="宋体" w:cs="宋体"/>
                <w:sz w:val="24"/>
              </w:rPr>
            </w:pPr>
            <w:r>
              <w:rPr>
                <w:rFonts w:hint="eastAsia" w:ascii="宋体" w:hAnsi="宋体" w:eastAsia="宋体" w:cs="宋体"/>
                <w:sz w:val="24"/>
              </w:rPr>
              <w:t>4</w:t>
            </w:r>
          </w:p>
        </w:tc>
        <w:tc>
          <w:tcPr>
            <w:tcW w:w="1176" w:type="dxa"/>
            <w:tcBorders>
              <w:top w:val="single" w:color="auto" w:sz="4" w:space="0"/>
              <w:left w:val="single" w:color="auto" w:sz="4" w:space="0"/>
              <w:bottom w:val="single" w:color="auto" w:sz="4" w:space="0"/>
              <w:right w:val="single" w:color="auto" w:sz="4" w:space="0"/>
            </w:tcBorders>
            <w:noWrap w:val="0"/>
            <w:vAlign w:val="center"/>
          </w:tcPr>
          <w:p w14:paraId="5468502F">
            <w:pPr>
              <w:spacing w:line="400" w:lineRule="exact"/>
              <w:jc w:val="center"/>
              <w:rPr>
                <w:rFonts w:hint="eastAsia" w:ascii="宋体" w:hAnsi="宋体" w:eastAsia="宋体" w:cs="宋体"/>
                <w:sz w:val="24"/>
              </w:rPr>
            </w:pPr>
            <w:r>
              <w:rPr>
                <w:rFonts w:hint="eastAsia" w:ascii="宋体" w:hAnsi="宋体" w:eastAsia="宋体" w:cs="宋体"/>
                <w:sz w:val="24"/>
              </w:rPr>
              <w:t>1.6.3</w:t>
            </w:r>
          </w:p>
        </w:tc>
        <w:tc>
          <w:tcPr>
            <w:tcW w:w="7380" w:type="dxa"/>
            <w:tcBorders>
              <w:top w:val="single" w:color="auto" w:sz="4" w:space="0"/>
              <w:left w:val="single" w:color="auto" w:sz="4" w:space="0"/>
              <w:bottom w:val="single" w:color="auto" w:sz="4" w:space="0"/>
              <w:right w:val="single" w:color="auto" w:sz="4" w:space="0"/>
            </w:tcBorders>
            <w:noWrap w:val="0"/>
            <w:vAlign w:val="top"/>
          </w:tcPr>
          <w:p w14:paraId="2AC6F2AA">
            <w:pPr>
              <w:rPr>
                <w:rFonts w:hint="eastAsia" w:ascii="宋体" w:hAnsi="宋体" w:eastAsia="宋体" w:cs="宋体"/>
                <w:sz w:val="24"/>
              </w:rPr>
            </w:pPr>
            <w:r>
              <w:rPr>
                <w:rFonts w:hint="eastAsia" w:ascii="宋体" w:hAnsi="宋体" w:eastAsia="宋体" w:cs="宋体"/>
                <w:sz w:val="24"/>
              </w:rPr>
              <w:t>图纸需要修改和补充的，应由监理人取得发包人同意后，在该工程或工程相应部位施工前7天签发图给承包人。</w:t>
            </w:r>
          </w:p>
        </w:tc>
      </w:tr>
      <w:tr w14:paraId="27C4E4CE">
        <w:tblPrEx>
          <w:tblCellMar>
            <w:top w:w="0" w:type="dxa"/>
            <w:left w:w="108" w:type="dxa"/>
            <w:bottom w:w="0" w:type="dxa"/>
            <w:right w:w="108" w:type="dxa"/>
          </w:tblCellMar>
        </w:tblPrEx>
        <w:trPr>
          <w:trHeight w:val="360" w:hRule="atLeast"/>
        </w:trPr>
        <w:tc>
          <w:tcPr>
            <w:tcW w:w="720" w:type="dxa"/>
            <w:tcBorders>
              <w:top w:val="single" w:color="auto" w:sz="4" w:space="0"/>
              <w:left w:val="single" w:color="auto" w:sz="4" w:space="0"/>
              <w:bottom w:val="single" w:color="auto" w:sz="4" w:space="0"/>
              <w:right w:val="single" w:color="auto" w:sz="4" w:space="0"/>
            </w:tcBorders>
            <w:noWrap w:val="0"/>
            <w:vAlign w:val="center"/>
          </w:tcPr>
          <w:p w14:paraId="2681EBEC">
            <w:pPr>
              <w:spacing w:line="400" w:lineRule="exact"/>
              <w:jc w:val="center"/>
              <w:rPr>
                <w:rFonts w:hint="eastAsia" w:ascii="宋体" w:hAnsi="宋体" w:eastAsia="宋体" w:cs="宋体"/>
                <w:sz w:val="24"/>
              </w:rPr>
            </w:pPr>
            <w:r>
              <w:rPr>
                <w:rFonts w:hint="eastAsia" w:ascii="宋体" w:hAnsi="宋体" w:eastAsia="宋体" w:cs="宋体"/>
                <w:sz w:val="24"/>
              </w:rPr>
              <w:t>5</w:t>
            </w:r>
          </w:p>
        </w:tc>
        <w:tc>
          <w:tcPr>
            <w:tcW w:w="1176" w:type="dxa"/>
            <w:tcBorders>
              <w:top w:val="single" w:color="auto" w:sz="4" w:space="0"/>
              <w:left w:val="single" w:color="auto" w:sz="4" w:space="0"/>
              <w:bottom w:val="single" w:color="auto" w:sz="4" w:space="0"/>
              <w:right w:val="single" w:color="auto" w:sz="4" w:space="0"/>
            </w:tcBorders>
            <w:noWrap w:val="0"/>
            <w:vAlign w:val="center"/>
          </w:tcPr>
          <w:p w14:paraId="3457C844">
            <w:pPr>
              <w:spacing w:line="400" w:lineRule="exact"/>
              <w:jc w:val="center"/>
              <w:rPr>
                <w:rFonts w:hint="eastAsia" w:ascii="宋体" w:hAnsi="宋体" w:eastAsia="宋体" w:cs="宋体"/>
                <w:sz w:val="24"/>
              </w:rPr>
            </w:pPr>
            <w:r>
              <w:rPr>
                <w:rFonts w:hint="eastAsia" w:ascii="宋体" w:hAnsi="宋体" w:eastAsia="宋体" w:cs="宋体"/>
                <w:sz w:val="24"/>
              </w:rPr>
              <w:t>3.1.1</w:t>
            </w:r>
          </w:p>
        </w:tc>
        <w:tc>
          <w:tcPr>
            <w:tcW w:w="7380" w:type="dxa"/>
            <w:tcBorders>
              <w:top w:val="single" w:color="auto" w:sz="4" w:space="0"/>
              <w:left w:val="single" w:color="auto" w:sz="4" w:space="0"/>
              <w:bottom w:val="single" w:color="auto" w:sz="4" w:space="0"/>
              <w:right w:val="single" w:color="auto" w:sz="4" w:space="0"/>
            </w:tcBorders>
            <w:noWrap w:val="0"/>
            <w:vAlign w:val="top"/>
          </w:tcPr>
          <w:p w14:paraId="02799B90">
            <w:pPr>
              <w:spacing w:line="360" w:lineRule="exact"/>
              <w:rPr>
                <w:rFonts w:hint="eastAsia" w:ascii="宋体" w:hAnsi="宋体" w:eastAsia="宋体" w:cs="宋体"/>
                <w:sz w:val="24"/>
              </w:rPr>
            </w:pPr>
            <w:r>
              <w:rPr>
                <w:rFonts w:hint="eastAsia" w:ascii="宋体" w:hAnsi="宋体" w:eastAsia="宋体" w:cs="宋体"/>
                <w:sz w:val="24"/>
              </w:rPr>
              <w:t>监理人在行使变更权力前需要经发包人事先批准。</w:t>
            </w:r>
          </w:p>
        </w:tc>
      </w:tr>
      <w:tr w14:paraId="7A20CF1F">
        <w:tblPrEx>
          <w:tblCellMar>
            <w:top w:w="0" w:type="dxa"/>
            <w:left w:w="108" w:type="dxa"/>
            <w:bottom w:w="0" w:type="dxa"/>
            <w:right w:w="108" w:type="dxa"/>
          </w:tblCellMar>
        </w:tblPrEx>
        <w:trPr>
          <w:trHeight w:val="355" w:hRule="atLeast"/>
        </w:trPr>
        <w:tc>
          <w:tcPr>
            <w:tcW w:w="720" w:type="dxa"/>
            <w:tcBorders>
              <w:left w:val="single" w:color="auto" w:sz="4" w:space="0"/>
              <w:bottom w:val="single" w:color="auto" w:sz="4" w:space="0"/>
              <w:right w:val="single" w:color="auto" w:sz="4" w:space="0"/>
            </w:tcBorders>
            <w:noWrap w:val="0"/>
            <w:vAlign w:val="center"/>
          </w:tcPr>
          <w:p w14:paraId="6D17CC4A">
            <w:pPr>
              <w:spacing w:line="400" w:lineRule="exact"/>
              <w:jc w:val="center"/>
              <w:rPr>
                <w:rFonts w:hint="eastAsia" w:ascii="宋体" w:hAnsi="宋体" w:eastAsia="宋体" w:cs="宋体"/>
                <w:sz w:val="24"/>
              </w:rPr>
            </w:pPr>
            <w:r>
              <w:rPr>
                <w:rFonts w:hint="eastAsia" w:ascii="宋体" w:hAnsi="宋体" w:eastAsia="宋体" w:cs="宋体"/>
                <w:sz w:val="24"/>
              </w:rPr>
              <w:t>6</w:t>
            </w:r>
          </w:p>
        </w:tc>
        <w:tc>
          <w:tcPr>
            <w:tcW w:w="1176" w:type="dxa"/>
            <w:tcBorders>
              <w:top w:val="single" w:color="auto" w:sz="4" w:space="0"/>
              <w:left w:val="single" w:color="auto" w:sz="4" w:space="0"/>
              <w:bottom w:val="single" w:color="auto" w:sz="4" w:space="0"/>
              <w:right w:val="single" w:color="auto" w:sz="4" w:space="0"/>
            </w:tcBorders>
            <w:noWrap w:val="0"/>
            <w:vAlign w:val="center"/>
          </w:tcPr>
          <w:p w14:paraId="3F966D3E">
            <w:pPr>
              <w:spacing w:line="400" w:lineRule="exact"/>
              <w:jc w:val="center"/>
              <w:rPr>
                <w:rFonts w:hint="eastAsia" w:ascii="宋体" w:hAnsi="宋体" w:eastAsia="宋体" w:cs="宋体"/>
                <w:sz w:val="24"/>
              </w:rPr>
            </w:pPr>
            <w:r>
              <w:rPr>
                <w:rFonts w:hint="eastAsia" w:ascii="宋体" w:hAnsi="宋体" w:eastAsia="宋体" w:cs="宋体"/>
                <w:sz w:val="24"/>
              </w:rPr>
              <w:t>5.2.1</w:t>
            </w:r>
          </w:p>
        </w:tc>
        <w:tc>
          <w:tcPr>
            <w:tcW w:w="7380" w:type="dxa"/>
            <w:tcBorders>
              <w:top w:val="single" w:color="auto" w:sz="4" w:space="0"/>
              <w:left w:val="single" w:color="auto" w:sz="4" w:space="0"/>
              <w:bottom w:val="single" w:color="auto" w:sz="4" w:space="0"/>
              <w:right w:val="single" w:color="auto" w:sz="4" w:space="0"/>
            </w:tcBorders>
            <w:noWrap w:val="0"/>
            <w:vAlign w:val="center"/>
          </w:tcPr>
          <w:p w14:paraId="6E630DDA">
            <w:pPr>
              <w:spacing w:line="360" w:lineRule="exact"/>
              <w:rPr>
                <w:rFonts w:hint="eastAsia" w:ascii="宋体" w:hAnsi="宋体" w:eastAsia="宋体" w:cs="宋体"/>
                <w:sz w:val="24"/>
              </w:rPr>
            </w:pPr>
            <w:r>
              <w:rPr>
                <w:rFonts w:hint="eastAsia" w:ascii="宋体" w:hAnsi="宋体" w:eastAsia="宋体" w:cs="宋体"/>
                <w:sz w:val="24"/>
              </w:rPr>
              <w:t>发包人是否提供材料或工程设备：否</w:t>
            </w:r>
          </w:p>
        </w:tc>
      </w:tr>
      <w:tr w14:paraId="4262B91C">
        <w:tblPrEx>
          <w:tblCellMar>
            <w:top w:w="0" w:type="dxa"/>
            <w:left w:w="108" w:type="dxa"/>
            <w:bottom w:w="0" w:type="dxa"/>
            <w:right w:w="108" w:type="dxa"/>
          </w:tblCellMar>
        </w:tblPrEx>
        <w:trPr>
          <w:trHeight w:val="398" w:hRule="atLeast"/>
        </w:trPr>
        <w:tc>
          <w:tcPr>
            <w:tcW w:w="720" w:type="dxa"/>
            <w:tcBorders>
              <w:top w:val="single" w:color="auto" w:sz="4" w:space="0"/>
              <w:left w:val="single" w:color="auto" w:sz="4" w:space="0"/>
              <w:bottom w:val="single" w:color="auto" w:sz="4" w:space="0"/>
              <w:right w:val="single" w:color="auto" w:sz="4" w:space="0"/>
            </w:tcBorders>
            <w:noWrap w:val="0"/>
            <w:vAlign w:val="center"/>
          </w:tcPr>
          <w:p w14:paraId="7D6D3580">
            <w:pPr>
              <w:spacing w:line="400" w:lineRule="exact"/>
              <w:jc w:val="center"/>
              <w:rPr>
                <w:rFonts w:hint="eastAsia" w:ascii="宋体" w:hAnsi="宋体" w:eastAsia="宋体" w:cs="宋体"/>
                <w:sz w:val="24"/>
              </w:rPr>
            </w:pPr>
            <w:r>
              <w:rPr>
                <w:rFonts w:hint="eastAsia" w:ascii="宋体" w:hAnsi="宋体" w:eastAsia="宋体" w:cs="宋体"/>
                <w:sz w:val="24"/>
              </w:rPr>
              <w:t>7</w:t>
            </w:r>
          </w:p>
        </w:tc>
        <w:tc>
          <w:tcPr>
            <w:tcW w:w="1176" w:type="dxa"/>
            <w:tcBorders>
              <w:top w:val="single" w:color="auto" w:sz="4" w:space="0"/>
              <w:left w:val="single" w:color="auto" w:sz="4" w:space="0"/>
              <w:bottom w:val="single" w:color="auto" w:sz="4" w:space="0"/>
              <w:right w:val="single" w:color="auto" w:sz="4" w:space="0"/>
            </w:tcBorders>
            <w:noWrap w:val="0"/>
            <w:vAlign w:val="center"/>
          </w:tcPr>
          <w:p w14:paraId="7698ABC3">
            <w:pPr>
              <w:spacing w:line="400" w:lineRule="exact"/>
              <w:jc w:val="center"/>
              <w:rPr>
                <w:rFonts w:hint="eastAsia" w:ascii="宋体" w:hAnsi="宋体" w:eastAsia="宋体" w:cs="宋体"/>
                <w:sz w:val="24"/>
              </w:rPr>
            </w:pPr>
            <w:r>
              <w:rPr>
                <w:rFonts w:hint="eastAsia" w:ascii="宋体" w:hAnsi="宋体" w:eastAsia="宋体" w:cs="宋体"/>
                <w:sz w:val="24"/>
              </w:rPr>
              <w:t>6.2</w:t>
            </w:r>
          </w:p>
        </w:tc>
        <w:tc>
          <w:tcPr>
            <w:tcW w:w="7380" w:type="dxa"/>
            <w:tcBorders>
              <w:top w:val="single" w:color="auto" w:sz="4" w:space="0"/>
              <w:left w:val="single" w:color="auto" w:sz="4" w:space="0"/>
              <w:bottom w:val="single" w:color="auto" w:sz="4" w:space="0"/>
              <w:right w:val="single" w:color="auto" w:sz="4" w:space="0"/>
            </w:tcBorders>
            <w:noWrap w:val="0"/>
            <w:vAlign w:val="center"/>
          </w:tcPr>
          <w:p w14:paraId="508AF22E">
            <w:pPr>
              <w:spacing w:line="400" w:lineRule="exact"/>
              <w:rPr>
                <w:rFonts w:hint="eastAsia" w:ascii="宋体" w:hAnsi="宋体" w:eastAsia="宋体" w:cs="宋体"/>
                <w:color w:val="008000"/>
                <w:sz w:val="24"/>
              </w:rPr>
            </w:pPr>
            <w:r>
              <w:rPr>
                <w:rFonts w:hint="eastAsia" w:ascii="宋体" w:hAnsi="宋体" w:eastAsia="宋体" w:cs="宋体"/>
                <w:sz w:val="24"/>
              </w:rPr>
              <w:t>发包人是否提供施工设备和临时设施：</w:t>
            </w:r>
            <w:r>
              <w:rPr>
                <w:rFonts w:hint="eastAsia" w:ascii="宋体" w:hAnsi="宋体" w:eastAsia="宋体" w:cs="宋体"/>
                <w:sz w:val="24"/>
                <w:u w:val="single"/>
              </w:rPr>
              <w:t>否</w:t>
            </w:r>
          </w:p>
        </w:tc>
      </w:tr>
      <w:tr w14:paraId="586B59A2">
        <w:tblPrEx>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noWrap w:val="0"/>
            <w:vAlign w:val="center"/>
          </w:tcPr>
          <w:p w14:paraId="1E2BAD66">
            <w:pPr>
              <w:spacing w:line="400" w:lineRule="exact"/>
              <w:jc w:val="center"/>
              <w:rPr>
                <w:rFonts w:hint="eastAsia" w:ascii="宋体" w:hAnsi="宋体" w:eastAsia="宋体" w:cs="宋体"/>
                <w:sz w:val="24"/>
              </w:rPr>
            </w:pPr>
            <w:r>
              <w:rPr>
                <w:rFonts w:hint="eastAsia" w:ascii="宋体" w:hAnsi="宋体" w:eastAsia="宋体" w:cs="宋体"/>
                <w:sz w:val="24"/>
              </w:rPr>
              <w:t>8</w:t>
            </w:r>
          </w:p>
        </w:tc>
        <w:tc>
          <w:tcPr>
            <w:tcW w:w="1176" w:type="dxa"/>
            <w:tcBorders>
              <w:top w:val="single" w:color="auto" w:sz="4" w:space="0"/>
              <w:left w:val="single" w:color="auto" w:sz="4" w:space="0"/>
              <w:bottom w:val="single" w:color="auto" w:sz="4" w:space="0"/>
              <w:right w:val="single" w:color="auto" w:sz="4" w:space="0"/>
            </w:tcBorders>
            <w:noWrap w:val="0"/>
            <w:vAlign w:val="center"/>
          </w:tcPr>
          <w:p w14:paraId="3C937B17">
            <w:pPr>
              <w:spacing w:line="400" w:lineRule="exact"/>
              <w:jc w:val="center"/>
              <w:rPr>
                <w:rFonts w:hint="eastAsia" w:ascii="宋体" w:hAnsi="宋体" w:eastAsia="宋体" w:cs="宋体"/>
                <w:sz w:val="24"/>
              </w:rPr>
            </w:pPr>
            <w:r>
              <w:rPr>
                <w:rFonts w:hint="eastAsia" w:ascii="宋体" w:hAnsi="宋体" w:eastAsia="宋体" w:cs="宋体"/>
                <w:sz w:val="24"/>
              </w:rPr>
              <w:t>8.1.1</w:t>
            </w:r>
          </w:p>
        </w:tc>
        <w:tc>
          <w:tcPr>
            <w:tcW w:w="7380" w:type="dxa"/>
            <w:tcBorders>
              <w:top w:val="single" w:color="auto" w:sz="4" w:space="0"/>
              <w:left w:val="single" w:color="auto" w:sz="4" w:space="0"/>
              <w:bottom w:val="single" w:color="auto" w:sz="4" w:space="0"/>
              <w:right w:val="single" w:color="auto" w:sz="4" w:space="0"/>
            </w:tcBorders>
            <w:noWrap w:val="0"/>
            <w:vAlign w:val="top"/>
          </w:tcPr>
          <w:p w14:paraId="54D8064B">
            <w:pPr>
              <w:rPr>
                <w:rFonts w:hint="eastAsia" w:ascii="宋体" w:hAnsi="宋体" w:eastAsia="宋体" w:cs="宋体"/>
                <w:sz w:val="24"/>
                <w:u w:val="single"/>
              </w:rPr>
            </w:pPr>
            <w:r>
              <w:rPr>
                <w:rFonts w:hint="eastAsia" w:ascii="宋体" w:hAnsi="宋体" w:eastAsia="宋体" w:cs="宋体"/>
                <w:sz w:val="24"/>
              </w:rPr>
              <w:t xml:space="preserve">发包人提供测量基准点、基准先和水准点及其书面资料的期限： </w:t>
            </w:r>
            <w:r>
              <w:rPr>
                <w:rFonts w:hint="eastAsia" w:ascii="宋体" w:hAnsi="宋体" w:eastAsia="宋体" w:cs="宋体"/>
                <w:sz w:val="24"/>
                <w:u w:val="single"/>
              </w:rPr>
              <w:t>承包人进场</w:t>
            </w:r>
            <w:r>
              <w:rPr>
                <w:rFonts w:hint="eastAsia" w:ascii="宋体" w:hAnsi="宋体" w:cs="宋体"/>
                <w:sz w:val="24"/>
                <w:u w:val="single"/>
                <w:lang w:val="en-US" w:eastAsia="zh-CN"/>
              </w:rPr>
              <w:t xml:space="preserve">      </w:t>
            </w:r>
            <w:r>
              <w:rPr>
                <w:rFonts w:hint="eastAsia" w:ascii="宋体" w:hAnsi="宋体" w:eastAsia="宋体" w:cs="宋体"/>
                <w:sz w:val="24"/>
                <w:u w:val="single"/>
              </w:rPr>
              <w:t>日内</w:t>
            </w:r>
            <w:r>
              <w:rPr>
                <w:rFonts w:hint="eastAsia" w:ascii="宋体" w:hAnsi="宋体" w:eastAsia="宋体" w:cs="宋体"/>
                <w:sz w:val="24"/>
              </w:rPr>
              <w:t xml:space="preserve"> ；承包人将施工控制网资料报送监理人审批的期限: </w:t>
            </w:r>
            <w:r>
              <w:rPr>
                <w:rFonts w:hint="eastAsia" w:ascii="宋体" w:hAnsi="宋体" w:eastAsia="宋体" w:cs="宋体"/>
                <w:sz w:val="24"/>
                <w:u w:val="single"/>
              </w:rPr>
              <w:t>签订合同协议书后</w:t>
            </w:r>
            <w:r>
              <w:rPr>
                <w:rFonts w:hint="eastAsia" w:ascii="宋体" w:hAnsi="宋体" w:cs="宋体"/>
                <w:sz w:val="24"/>
                <w:u w:val="single"/>
                <w:lang w:val="en-US" w:eastAsia="zh-CN"/>
              </w:rPr>
              <w:t xml:space="preserve">      </w:t>
            </w:r>
            <w:r>
              <w:rPr>
                <w:rFonts w:hint="eastAsia" w:ascii="宋体" w:hAnsi="宋体" w:eastAsia="宋体" w:cs="宋体"/>
                <w:sz w:val="24"/>
                <w:u w:val="single"/>
              </w:rPr>
              <w:t>天内</w:t>
            </w:r>
            <w:r>
              <w:rPr>
                <w:rFonts w:hint="eastAsia" w:ascii="宋体" w:hAnsi="宋体" w:eastAsia="宋体" w:cs="宋体"/>
                <w:sz w:val="24"/>
              </w:rPr>
              <w:t>。</w:t>
            </w:r>
          </w:p>
        </w:tc>
      </w:tr>
      <w:tr w14:paraId="61B51C56">
        <w:tblPrEx>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noWrap w:val="0"/>
            <w:vAlign w:val="center"/>
          </w:tcPr>
          <w:p w14:paraId="7094204F">
            <w:pPr>
              <w:spacing w:line="400" w:lineRule="exact"/>
              <w:jc w:val="center"/>
              <w:rPr>
                <w:rFonts w:hint="eastAsia" w:ascii="宋体" w:hAnsi="宋体" w:eastAsia="宋体" w:cs="宋体"/>
                <w:sz w:val="24"/>
              </w:rPr>
            </w:pPr>
            <w:r>
              <w:rPr>
                <w:rFonts w:hint="eastAsia" w:ascii="宋体" w:hAnsi="宋体" w:eastAsia="宋体" w:cs="宋体"/>
                <w:sz w:val="24"/>
              </w:rPr>
              <w:t>9</w:t>
            </w:r>
          </w:p>
        </w:tc>
        <w:tc>
          <w:tcPr>
            <w:tcW w:w="1176" w:type="dxa"/>
            <w:tcBorders>
              <w:top w:val="single" w:color="auto" w:sz="4" w:space="0"/>
              <w:left w:val="single" w:color="auto" w:sz="4" w:space="0"/>
              <w:bottom w:val="single" w:color="auto" w:sz="4" w:space="0"/>
              <w:right w:val="single" w:color="auto" w:sz="4" w:space="0"/>
            </w:tcBorders>
            <w:noWrap w:val="0"/>
            <w:vAlign w:val="center"/>
          </w:tcPr>
          <w:p w14:paraId="5C01E4BB">
            <w:pPr>
              <w:spacing w:line="400" w:lineRule="exact"/>
              <w:jc w:val="center"/>
              <w:rPr>
                <w:rFonts w:hint="eastAsia" w:ascii="宋体" w:hAnsi="宋体" w:eastAsia="宋体" w:cs="宋体"/>
                <w:sz w:val="24"/>
              </w:rPr>
            </w:pPr>
            <w:r>
              <w:rPr>
                <w:rFonts w:hint="eastAsia" w:ascii="宋体" w:hAnsi="宋体" w:eastAsia="宋体" w:cs="宋体"/>
                <w:sz w:val="24"/>
              </w:rPr>
              <w:t>11.5</w:t>
            </w:r>
          </w:p>
        </w:tc>
        <w:tc>
          <w:tcPr>
            <w:tcW w:w="7380" w:type="dxa"/>
            <w:tcBorders>
              <w:top w:val="single" w:color="auto" w:sz="4" w:space="0"/>
              <w:left w:val="single" w:color="auto" w:sz="4" w:space="0"/>
              <w:bottom w:val="single" w:color="auto" w:sz="4" w:space="0"/>
              <w:right w:val="single" w:color="auto" w:sz="4" w:space="0"/>
            </w:tcBorders>
            <w:noWrap w:val="0"/>
            <w:vAlign w:val="top"/>
          </w:tcPr>
          <w:p w14:paraId="3EE04EC4">
            <w:pPr>
              <w:spacing w:line="400" w:lineRule="exact"/>
              <w:rPr>
                <w:rFonts w:hint="eastAsia" w:ascii="宋体" w:hAnsi="宋体" w:eastAsia="宋体" w:cs="宋体"/>
                <w:sz w:val="24"/>
              </w:rPr>
            </w:pPr>
            <w:r>
              <w:rPr>
                <w:rFonts w:hint="eastAsia" w:ascii="宋体" w:hAnsi="宋体" w:eastAsia="宋体" w:cs="宋体"/>
                <w:sz w:val="24"/>
              </w:rPr>
              <w:t>逾期交工违约金：</w:t>
            </w:r>
            <w:r>
              <w:rPr>
                <w:rFonts w:hint="eastAsia" w:ascii="宋体" w:hAnsi="宋体" w:cs="宋体"/>
                <w:sz w:val="24"/>
                <w:u w:val="single"/>
                <w:lang w:val="en-US" w:eastAsia="zh-CN"/>
              </w:rPr>
              <w:t xml:space="preserve">     </w:t>
            </w:r>
            <w:r>
              <w:rPr>
                <w:rFonts w:hint="eastAsia" w:ascii="宋体" w:hAnsi="宋体" w:eastAsia="宋体" w:cs="宋体"/>
                <w:sz w:val="24"/>
              </w:rPr>
              <w:t>元/天</w:t>
            </w:r>
          </w:p>
        </w:tc>
      </w:tr>
      <w:tr w14:paraId="1C5586CB">
        <w:tblPrEx>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noWrap w:val="0"/>
            <w:vAlign w:val="center"/>
          </w:tcPr>
          <w:p w14:paraId="4EDC3BC3">
            <w:pPr>
              <w:spacing w:line="400" w:lineRule="exact"/>
              <w:jc w:val="center"/>
              <w:rPr>
                <w:rFonts w:hint="eastAsia" w:ascii="宋体" w:hAnsi="宋体" w:eastAsia="宋体" w:cs="宋体"/>
                <w:sz w:val="24"/>
              </w:rPr>
            </w:pPr>
            <w:r>
              <w:rPr>
                <w:rFonts w:hint="eastAsia" w:ascii="宋体" w:hAnsi="宋体" w:eastAsia="宋体" w:cs="宋体"/>
                <w:sz w:val="24"/>
              </w:rPr>
              <w:t>10</w:t>
            </w:r>
          </w:p>
        </w:tc>
        <w:tc>
          <w:tcPr>
            <w:tcW w:w="1176" w:type="dxa"/>
            <w:tcBorders>
              <w:top w:val="single" w:color="auto" w:sz="4" w:space="0"/>
              <w:left w:val="single" w:color="auto" w:sz="4" w:space="0"/>
              <w:bottom w:val="single" w:color="auto" w:sz="4" w:space="0"/>
              <w:right w:val="single" w:color="auto" w:sz="4" w:space="0"/>
            </w:tcBorders>
            <w:noWrap w:val="0"/>
            <w:vAlign w:val="center"/>
          </w:tcPr>
          <w:p w14:paraId="2D9D7CD1">
            <w:pPr>
              <w:spacing w:line="400" w:lineRule="exact"/>
              <w:jc w:val="center"/>
              <w:rPr>
                <w:rFonts w:hint="eastAsia" w:ascii="宋体" w:hAnsi="宋体" w:eastAsia="宋体" w:cs="宋体"/>
                <w:sz w:val="24"/>
              </w:rPr>
            </w:pPr>
            <w:r>
              <w:rPr>
                <w:rFonts w:hint="eastAsia" w:ascii="宋体" w:hAnsi="宋体" w:eastAsia="宋体" w:cs="宋体"/>
                <w:sz w:val="24"/>
              </w:rPr>
              <w:t>11.5</w:t>
            </w:r>
          </w:p>
        </w:tc>
        <w:tc>
          <w:tcPr>
            <w:tcW w:w="7380" w:type="dxa"/>
            <w:tcBorders>
              <w:top w:val="single" w:color="auto" w:sz="4" w:space="0"/>
              <w:left w:val="single" w:color="auto" w:sz="4" w:space="0"/>
              <w:bottom w:val="single" w:color="auto" w:sz="4" w:space="0"/>
              <w:right w:val="single" w:color="auto" w:sz="4" w:space="0"/>
            </w:tcBorders>
            <w:noWrap w:val="0"/>
            <w:vAlign w:val="top"/>
          </w:tcPr>
          <w:p w14:paraId="763FBB2A">
            <w:pPr>
              <w:spacing w:line="400" w:lineRule="exact"/>
              <w:rPr>
                <w:rFonts w:hint="eastAsia" w:ascii="宋体" w:hAnsi="宋体" w:eastAsia="宋体" w:cs="宋体"/>
                <w:sz w:val="24"/>
              </w:rPr>
            </w:pPr>
            <w:r>
              <w:rPr>
                <w:rFonts w:hint="eastAsia" w:ascii="宋体" w:hAnsi="宋体" w:eastAsia="宋体" w:cs="宋体"/>
                <w:sz w:val="24"/>
              </w:rPr>
              <w:t>逾期交工违约金限额：</w:t>
            </w:r>
            <w:r>
              <w:rPr>
                <w:rFonts w:hint="eastAsia" w:ascii="宋体" w:hAnsi="宋体" w:eastAsia="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eastAsia="宋体" w:cs="宋体"/>
                <w:sz w:val="24"/>
              </w:rPr>
              <w:t>%签约合同价</w:t>
            </w:r>
          </w:p>
        </w:tc>
      </w:tr>
      <w:tr w14:paraId="4E1E88CA">
        <w:tblPrEx>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noWrap w:val="0"/>
            <w:vAlign w:val="center"/>
          </w:tcPr>
          <w:p w14:paraId="3E0C5F98">
            <w:pPr>
              <w:spacing w:line="400" w:lineRule="exact"/>
              <w:jc w:val="center"/>
              <w:rPr>
                <w:rFonts w:hint="eastAsia" w:ascii="宋体" w:hAnsi="宋体" w:eastAsia="宋体" w:cs="宋体"/>
                <w:sz w:val="24"/>
              </w:rPr>
            </w:pPr>
            <w:r>
              <w:rPr>
                <w:rFonts w:hint="eastAsia" w:ascii="宋体" w:hAnsi="宋体" w:eastAsia="宋体" w:cs="宋体"/>
                <w:sz w:val="24"/>
              </w:rPr>
              <w:t>11</w:t>
            </w:r>
          </w:p>
        </w:tc>
        <w:tc>
          <w:tcPr>
            <w:tcW w:w="1176" w:type="dxa"/>
            <w:tcBorders>
              <w:top w:val="single" w:color="auto" w:sz="4" w:space="0"/>
              <w:left w:val="single" w:color="auto" w:sz="4" w:space="0"/>
              <w:bottom w:val="single" w:color="auto" w:sz="4" w:space="0"/>
              <w:right w:val="single" w:color="auto" w:sz="4" w:space="0"/>
            </w:tcBorders>
            <w:noWrap w:val="0"/>
            <w:vAlign w:val="center"/>
          </w:tcPr>
          <w:p w14:paraId="4668030E">
            <w:pPr>
              <w:spacing w:line="400" w:lineRule="exact"/>
              <w:jc w:val="center"/>
              <w:rPr>
                <w:rFonts w:hint="eastAsia" w:ascii="宋体" w:hAnsi="宋体" w:eastAsia="宋体" w:cs="宋体"/>
                <w:sz w:val="24"/>
              </w:rPr>
            </w:pPr>
            <w:r>
              <w:rPr>
                <w:rFonts w:hint="eastAsia" w:ascii="宋体" w:hAnsi="宋体" w:eastAsia="宋体" w:cs="宋体"/>
                <w:sz w:val="24"/>
              </w:rPr>
              <w:t>11.6</w:t>
            </w:r>
          </w:p>
        </w:tc>
        <w:tc>
          <w:tcPr>
            <w:tcW w:w="7380" w:type="dxa"/>
            <w:tcBorders>
              <w:top w:val="single" w:color="auto" w:sz="4" w:space="0"/>
              <w:left w:val="single" w:color="auto" w:sz="4" w:space="0"/>
              <w:bottom w:val="single" w:color="auto" w:sz="4" w:space="0"/>
              <w:right w:val="single" w:color="auto" w:sz="4" w:space="0"/>
            </w:tcBorders>
            <w:noWrap w:val="0"/>
            <w:vAlign w:val="top"/>
          </w:tcPr>
          <w:p w14:paraId="4AE06821">
            <w:pPr>
              <w:spacing w:line="400" w:lineRule="exact"/>
              <w:rPr>
                <w:rFonts w:hint="eastAsia" w:ascii="宋体" w:hAnsi="宋体" w:eastAsia="宋体" w:cs="宋体"/>
                <w:sz w:val="24"/>
              </w:rPr>
            </w:pPr>
            <w:r>
              <w:rPr>
                <w:rFonts w:hint="eastAsia" w:ascii="宋体" w:hAnsi="宋体" w:eastAsia="宋体" w:cs="宋体"/>
                <w:sz w:val="24"/>
              </w:rPr>
              <w:t>提前交工的奖金：不适用</w:t>
            </w:r>
          </w:p>
        </w:tc>
      </w:tr>
      <w:tr w14:paraId="6537E0FF">
        <w:tblPrEx>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noWrap w:val="0"/>
            <w:vAlign w:val="center"/>
          </w:tcPr>
          <w:p w14:paraId="55B19B50">
            <w:pPr>
              <w:spacing w:line="400" w:lineRule="exact"/>
              <w:jc w:val="center"/>
              <w:rPr>
                <w:rFonts w:hint="eastAsia" w:ascii="宋体" w:hAnsi="宋体" w:eastAsia="宋体" w:cs="宋体"/>
                <w:sz w:val="24"/>
              </w:rPr>
            </w:pPr>
            <w:r>
              <w:rPr>
                <w:rFonts w:hint="eastAsia" w:ascii="宋体" w:hAnsi="宋体" w:eastAsia="宋体" w:cs="宋体"/>
                <w:sz w:val="24"/>
              </w:rPr>
              <w:t>12</w:t>
            </w:r>
          </w:p>
        </w:tc>
        <w:tc>
          <w:tcPr>
            <w:tcW w:w="1176" w:type="dxa"/>
            <w:tcBorders>
              <w:top w:val="single" w:color="auto" w:sz="4" w:space="0"/>
              <w:left w:val="single" w:color="auto" w:sz="4" w:space="0"/>
              <w:bottom w:val="single" w:color="auto" w:sz="4" w:space="0"/>
              <w:right w:val="single" w:color="auto" w:sz="4" w:space="0"/>
            </w:tcBorders>
            <w:noWrap w:val="0"/>
            <w:vAlign w:val="center"/>
          </w:tcPr>
          <w:p w14:paraId="23FC59AD">
            <w:pPr>
              <w:spacing w:line="400" w:lineRule="exact"/>
              <w:jc w:val="center"/>
              <w:rPr>
                <w:rFonts w:hint="eastAsia" w:ascii="宋体" w:hAnsi="宋体" w:eastAsia="宋体" w:cs="宋体"/>
                <w:sz w:val="24"/>
              </w:rPr>
            </w:pPr>
            <w:r>
              <w:rPr>
                <w:rFonts w:hint="eastAsia" w:ascii="宋体" w:hAnsi="宋体" w:eastAsia="宋体" w:cs="宋体"/>
                <w:sz w:val="24"/>
              </w:rPr>
              <w:t>11.6</w:t>
            </w:r>
          </w:p>
        </w:tc>
        <w:tc>
          <w:tcPr>
            <w:tcW w:w="7380" w:type="dxa"/>
            <w:tcBorders>
              <w:top w:val="single" w:color="auto" w:sz="4" w:space="0"/>
              <w:left w:val="single" w:color="auto" w:sz="4" w:space="0"/>
              <w:bottom w:val="single" w:color="auto" w:sz="4" w:space="0"/>
              <w:right w:val="single" w:color="auto" w:sz="4" w:space="0"/>
            </w:tcBorders>
            <w:noWrap w:val="0"/>
            <w:vAlign w:val="top"/>
          </w:tcPr>
          <w:p w14:paraId="20AD27B4">
            <w:pPr>
              <w:spacing w:line="400" w:lineRule="exact"/>
              <w:rPr>
                <w:rFonts w:hint="eastAsia" w:ascii="宋体" w:hAnsi="宋体" w:eastAsia="宋体" w:cs="宋体"/>
                <w:sz w:val="24"/>
              </w:rPr>
            </w:pPr>
            <w:r>
              <w:rPr>
                <w:rFonts w:hint="eastAsia" w:ascii="宋体" w:hAnsi="宋体" w:eastAsia="宋体" w:cs="宋体"/>
                <w:sz w:val="24"/>
              </w:rPr>
              <w:t>提前交工的奖金限额：不适用</w:t>
            </w:r>
          </w:p>
        </w:tc>
      </w:tr>
      <w:tr w14:paraId="18DE058E">
        <w:tblPrEx>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noWrap w:val="0"/>
            <w:vAlign w:val="center"/>
          </w:tcPr>
          <w:p w14:paraId="0D0C5935">
            <w:pPr>
              <w:spacing w:line="400" w:lineRule="exact"/>
              <w:jc w:val="center"/>
              <w:rPr>
                <w:rFonts w:hint="eastAsia" w:ascii="宋体" w:hAnsi="宋体" w:eastAsia="宋体" w:cs="宋体"/>
                <w:sz w:val="24"/>
              </w:rPr>
            </w:pPr>
            <w:r>
              <w:rPr>
                <w:rFonts w:hint="eastAsia" w:ascii="宋体" w:hAnsi="宋体" w:eastAsia="宋体" w:cs="宋体"/>
                <w:sz w:val="24"/>
              </w:rPr>
              <w:t>13</w:t>
            </w:r>
          </w:p>
        </w:tc>
        <w:tc>
          <w:tcPr>
            <w:tcW w:w="1176" w:type="dxa"/>
            <w:tcBorders>
              <w:top w:val="single" w:color="auto" w:sz="4" w:space="0"/>
              <w:left w:val="single" w:color="auto" w:sz="4" w:space="0"/>
              <w:bottom w:val="single" w:color="auto" w:sz="4" w:space="0"/>
              <w:right w:val="single" w:color="auto" w:sz="4" w:space="0"/>
            </w:tcBorders>
            <w:noWrap w:val="0"/>
            <w:vAlign w:val="center"/>
          </w:tcPr>
          <w:p w14:paraId="77D60760">
            <w:pPr>
              <w:spacing w:line="400" w:lineRule="exact"/>
              <w:jc w:val="center"/>
              <w:rPr>
                <w:rFonts w:hint="eastAsia" w:ascii="宋体" w:hAnsi="宋体" w:eastAsia="宋体" w:cs="宋体"/>
                <w:sz w:val="24"/>
              </w:rPr>
            </w:pPr>
            <w:r>
              <w:rPr>
                <w:rFonts w:hint="eastAsia" w:ascii="宋体" w:hAnsi="宋体" w:eastAsia="宋体" w:cs="宋体"/>
                <w:sz w:val="24"/>
              </w:rPr>
              <w:t>15.5.2</w:t>
            </w:r>
          </w:p>
        </w:tc>
        <w:tc>
          <w:tcPr>
            <w:tcW w:w="7380" w:type="dxa"/>
            <w:tcBorders>
              <w:top w:val="single" w:color="auto" w:sz="4" w:space="0"/>
              <w:left w:val="single" w:color="auto" w:sz="4" w:space="0"/>
              <w:bottom w:val="single" w:color="auto" w:sz="4" w:space="0"/>
              <w:right w:val="single" w:color="auto" w:sz="4" w:space="0"/>
            </w:tcBorders>
            <w:noWrap w:val="0"/>
            <w:vAlign w:val="top"/>
          </w:tcPr>
          <w:p w14:paraId="53FDB25E">
            <w:pPr>
              <w:rPr>
                <w:rFonts w:hint="eastAsia" w:ascii="宋体" w:hAnsi="宋体" w:eastAsia="宋体" w:cs="宋体"/>
                <w:sz w:val="24"/>
              </w:rPr>
            </w:pPr>
            <w:r>
              <w:rPr>
                <w:rFonts w:hint="eastAsia" w:ascii="宋体" w:hAnsi="宋体" w:eastAsia="宋体" w:cs="宋体"/>
                <w:sz w:val="24"/>
              </w:rPr>
              <w:t>承包人提出的合理化建议降低了合同价格或者提高了工程经济效益的，发包人不予奖励。</w:t>
            </w:r>
          </w:p>
        </w:tc>
      </w:tr>
      <w:tr w14:paraId="5EF0358E">
        <w:tblPrEx>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noWrap w:val="0"/>
            <w:vAlign w:val="center"/>
          </w:tcPr>
          <w:p w14:paraId="61E3327E">
            <w:pPr>
              <w:spacing w:line="400" w:lineRule="exact"/>
              <w:jc w:val="center"/>
              <w:rPr>
                <w:rFonts w:hint="eastAsia" w:ascii="宋体" w:hAnsi="宋体" w:eastAsia="宋体" w:cs="宋体"/>
                <w:sz w:val="24"/>
              </w:rPr>
            </w:pPr>
            <w:r>
              <w:rPr>
                <w:rFonts w:hint="eastAsia" w:ascii="宋体" w:hAnsi="宋体" w:eastAsia="宋体" w:cs="宋体"/>
                <w:sz w:val="24"/>
              </w:rPr>
              <w:t>14</w:t>
            </w:r>
          </w:p>
        </w:tc>
        <w:tc>
          <w:tcPr>
            <w:tcW w:w="1176" w:type="dxa"/>
            <w:tcBorders>
              <w:top w:val="single" w:color="auto" w:sz="4" w:space="0"/>
              <w:left w:val="single" w:color="auto" w:sz="4" w:space="0"/>
              <w:bottom w:val="single" w:color="auto" w:sz="4" w:space="0"/>
              <w:right w:val="single" w:color="auto" w:sz="4" w:space="0"/>
            </w:tcBorders>
            <w:noWrap w:val="0"/>
            <w:vAlign w:val="center"/>
          </w:tcPr>
          <w:p w14:paraId="6A38BCB7">
            <w:pPr>
              <w:spacing w:line="400" w:lineRule="exact"/>
              <w:jc w:val="center"/>
              <w:rPr>
                <w:rFonts w:hint="eastAsia" w:ascii="宋体" w:hAnsi="宋体" w:eastAsia="宋体" w:cs="宋体"/>
                <w:sz w:val="24"/>
              </w:rPr>
            </w:pPr>
            <w:r>
              <w:rPr>
                <w:rFonts w:hint="eastAsia" w:ascii="宋体" w:hAnsi="宋体" w:eastAsia="宋体" w:cs="宋体"/>
                <w:sz w:val="24"/>
              </w:rPr>
              <w:t>16.1</w:t>
            </w:r>
          </w:p>
        </w:tc>
        <w:tc>
          <w:tcPr>
            <w:tcW w:w="7380" w:type="dxa"/>
            <w:tcBorders>
              <w:top w:val="single" w:color="auto" w:sz="4" w:space="0"/>
              <w:left w:val="single" w:color="auto" w:sz="4" w:space="0"/>
              <w:bottom w:val="single" w:color="auto" w:sz="4" w:space="0"/>
              <w:right w:val="single" w:color="auto" w:sz="4" w:space="0"/>
            </w:tcBorders>
            <w:noWrap w:val="0"/>
            <w:vAlign w:val="top"/>
          </w:tcPr>
          <w:p w14:paraId="683070DA">
            <w:pPr>
              <w:spacing w:line="400" w:lineRule="exact"/>
              <w:rPr>
                <w:rFonts w:hint="eastAsia" w:ascii="宋体" w:hAnsi="宋体" w:eastAsia="宋体" w:cs="宋体"/>
                <w:sz w:val="24"/>
              </w:rPr>
            </w:pPr>
            <w:r>
              <w:rPr>
                <w:rFonts w:hint="eastAsia" w:ascii="宋体" w:hAnsi="宋体" w:eastAsia="宋体" w:cs="宋体"/>
                <w:sz w:val="24"/>
              </w:rPr>
              <w:t>合同期内不调价；</w:t>
            </w:r>
          </w:p>
        </w:tc>
      </w:tr>
      <w:tr w14:paraId="329613DD">
        <w:tblPrEx>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noWrap w:val="0"/>
            <w:vAlign w:val="center"/>
          </w:tcPr>
          <w:p w14:paraId="3371824A">
            <w:pPr>
              <w:spacing w:line="400" w:lineRule="exact"/>
              <w:jc w:val="center"/>
              <w:rPr>
                <w:rFonts w:hint="eastAsia" w:ascii="宋体" w:hAnsi="宋体" w:eastAsia="宋体" w:cs="宋体"/>
                <w:sz w:val="24"/>
              </w:rPr>
            </w:pPr>
            <w:r>
              <w:rPr>
                <w:rFonts w:hint="eastAsia" w:ascii="宋体" w:hAnsi="宋体" w:eastAsia="宋体" w:cs="宋体"/>
                <w:sz w:val="24"/>
              </w:rPr>
              <w:t>15</w:t>
            </w:r>
          </w:p>
        </w:tc>
        <w:tc>
          <w:tcPr>
            <w:tcW w:w="1176" w:type="dxa"/>
            <w:tcBorders>
              <w:top w:val="single" w:color="auto" w:sz="4" w:space="0"/>
              <w:left w:val="single" w:color="auto" w:sz="4" w:space="0"/>
              <w:bottom w:val="single" w:color="auto" w:sz="4" w:space="0"/>
              <w:right w:val="single" w:color="auto" w:sz="4" w:space="0"/>
            </w:tcBorders>
            <w:noWrap w:val="0"/>
            <w:vAlign w:val="center"/>
          </w:tcPr>
          <w:p w14:paraId="3806B921">
            <w:pPr>
              <w:spacing w:line="400" w:lineRule="exact"/>
              <w:jc w:val="center"/>
              <w:rPr>
                <w:rFonts w:hint="eastAsia" w:ascii="宋体" w:hAnsi="宋体" w:eastAsia="宋体" w:cs="宋体"/>
                <w:sz w:val="24"/>
              </w:rPr>
            </w:pPr>
            <w:r>
              <w:rPr>
                <w:rFonts w:hint="eastAsia" w:ascii="宋体" w:hAnsi="宋体" w:eastAsia="宋体" w:cs="宋体"/>
                <w:sz w:val="24"/>
              </w:rPr>
              <w:t>17.2.1</w:t>
            </w:r>
          </w:p>
        </w:tc>
        <w:tc>
          <w:tcPr>
            <w:tcW w:w="7380" w:type="dxa"/>
            <w:tcBorders>
              <w:top w:val="single" w:color="auto" w:sz="4" w:space="0"/>
              <w:left w:val="single" w:color="auto" w:sz="4" w:space="0"/>
              <w:bottom w:val="single" w:color="auto" w:sz="4" w:space="0"/>
              <w:right w:val="single" w:color="auto" w:sz="4" w:space="0"/>
            </w:tcBorders>
            <w:noWrap w:val="0"/>
            <w:vAlign w:val="center"/>
          </w:tcPr>
          <w:p w14:paraId="7544DB7E">
            <w:pPr>
              <w:jc w:val="left"/>
              <w:rPr>
                <w:rFonts w:hint="eastAsia" w:ascii="宋体" w:hAnsi="宋体" w:eastAsia="宋体" w:cs="宋体"/>
                <w:sz w:val="24"/>
              </w:rPr>
            </w:pPr>
            <w:r>
              <w:rPr>
                <w:rFonts w:hint="eastAsia" w:ascii="宋体" w:hAnsi="宋体" w:eastAsia="宋体" w:cs="宋体"/>
                <w:sz w:val="24"/>
              </w:rPr>
              <w:t>开工预付款金额：不适用</w:t>
            </w:r>
          </w:p>
        </w:tc>
      </w:tr>
      <w:tr w14:paraId="3C22BDED">
        <w:tblPrEx>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noWrap w:val="0"/>
            <w:vAlign w:val="center"/>
          </w:tcPr>
          <w:p w14:paraId="3B68E7E2">
            <w:pPr>
              <w:spacing w:line="400" w:lineRule="exact"/>
              <w:jc w:val="center"/>
              <w:rPr>
                <w:rFonts w:hint="eastAsia" w:ascii="宋体" w:hAnsi="宋体" w:eastAsia="宋体" w:cs="宋体"/>
                <w:sz w:val="24"/>
              </w:rPr>
            </w:pPr>
            <w:r>
              <w:rPr>
                <w:rFonts w:hint="eastAsia" w:ascii="宋体" w:hAnsi="宋体" w:eastAsia="宋体" w:cs="宋体"/>
                <w:sz w:val="24"/>
              </w:rPr>
              <w:t>16</w:t>
            </w:r>
          </w:p>
        </w:tc>
        <w:tc>
          <w:tcPr>
            <w:tcW w:w="1176" w:type="dxa"/>
            <w:tcBorders>
              <w:top w:val="single" w:color="auto" w:sz="4" w:space="0"/>
              <w:left w:val="single" w:color="auto" w:sz="4" w:space="0"/>
              <w:bottom w:val="single" w:color="auto" w:sz="4" w:space="0"/>
              <w:right w:val="single" w:color="auto" w:sz="4" w:space="0"/>
            </w:tcBorders>
            <w:noWrap w:val="0"/>
            <w:vAlign w:val="center"/>
          </w:tcPr>
          <w:p w14:paraId="08D029EC">
            <w:pPr>
              <w:spacing w:line="400" w:lineRule="exact"/>
              <w:jc w:val="center"/>
              <w:rPr>
                <w:rFonts w:hint="eastAsia" w:ascii="宋体" w:hAnsi="宋体" w:eastAsia="宋体" w:cs="宋体"/>
                <w:sz w:val="24"/>
              </w:rPr>
            </w:pPr>
            <w:r>
              <w:rPr>
                <w:rFonts w:hint="eastAsia" w:ascii="宋体" w:hAnsi="宋体" w:eastAsia="宋体" w:cs="宋体"/>
                <w:sz w:val="24"/>
              </w:rPr>
              <w:t>17.2.1</w:t>
            </w:r>
          </w:p>
        </w:tc>
        <w:tc>
          <w:tcPr>
            <w:tcW w:w="7380" w:type="dxa"/>
            <w:tcBorders>
              <w:top w:val="single" w:color="auto" w:sz="4" w:space="0"/>
              <w:left w:val="single" w:color="auto" w:sz="4" w:space="0"/>
              <w:bottom w:val="single" w:color="auto" w:sz="4" w:space="0"/>
              <w:right w:val="single" w:color="auto" w:sz="4" w:space="0"/>
            </w:tcBorders>
            <w:noWrap w:val="0"/>
            <w:vAlign w:val="top"/>
          </w:tcPr>
          <w:p w14:paraId="602B8BD0">
            <w:pPr>
              <w:rPr>
                <w:rFonts w:hint="eastAsia" w:ascii="宋体" w:hAnsi="宋体" w:eastAsia="宋体" w:cs="宋体"/>
                <w:sz w:val="24"/>
              </w:rPr>
            </w:pPr>
            <w:r>
              <w:rPr>
                <w:rFonts w:hint="eastAsia" w:ascii="宋体" w:hAnsi="宋体" w:eastAsia="宋体" w:cs="宋体"/>
                <w:sz w:val="24"/>
              </w:rPr>
              <w:t>材料、设备预付款比例：本工程无材料、设备预付款；</w:t>
            </w:r>
          </w:p>
        </w:tc>
      </w:tr>
      <w:tr w14:paraId="0E9A9179">
        <w:tblPrEx>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noWrap w:val="0"/>
            <w:vAlign w:val="center"/>
          </w:tcPr>
          <w:p w14:paraId="4F12D2E7">
            <w:pPr>
              <w:spacing w:line="400" w:lineRule="exact"/>
              <w:jc w:val="center"/>
              <w:rPr>
                <w:rFonts w:hint="eastAsia" w:ascii="宋体" w:hAnsi="宋体" w:eastAsia="宋体" w:cs="宋体"/>
                <w:sz w:val="24"/>
              </w:rPr>
            </w:pPr>
            <w:r>
              <w:rPr>
                <w:rFonts w:hint="eastAsia" w:ascii="宋体" w:hAnsi="宋体" w:eastAsia="宋体" w:cs="宋体"/>
                <w:sz w:val="24"/>
              </w:rPr>
              <w:t>17</w:t>
            </w:r>
          </w:p>
        </w:tc>
        <w:tc>
          <w:tcPr>
            <w:tcW w:w="1176" w:type="dxa"/>
            <w:tcBorders>
              <w:top w:val="single" w:color="auto" w:sz="4" w:space="0"/>
              <w:left w:val="single" w:color="auto" w:sz="4" w:space="0"/>
              <w:bottom w:val="single" w:color="auto" w:sz="4" w:space="0"/>
              <w:right w:val="single" w:color="auto" w:sz="4" w:space="0"/>
            </w:tcBorders>
            <w:noWrap w:val="0"/>
            <w:vAlign w:val="center"/>
          </w:tcPr>
          <w:p w14:paraId="61427F1F">
            <w:pPr>
              <w:spacing w:line="400" w:lineRule="exact"/>
              <w:jc w:val="center"/>
              <w:rPr>
                <w:rFonts w:hint="eastAsia" w:ascii="宋体" w:hAnsi="宋体" w:eastAsia="宋体" w:cs="宋体"/>
                <w:sz w:val="24"/>
              </w:rPr>
            </w:pPr>
            <w:r>
              <w:rPr>
                <w:rFonts w:hint="eastAsia" w:ascii="宋体" w:hAnsi="宋体" w:eastAsia="宋体" w:cs="宋体"/>
              </w:rPr>
              <w:t>17.3.3（2）</w:t>
            </w:r>
          </w:p>
        </w:tc>
        <w:tc>
          <w:tcPr>
            <w:tcW w:w="7380" w:type="dxa"/>
            <w:tcBorders>
              <w:top w:val="single" w:color="auto" w:sz="4" w:space="0"/>
              <w:left w:val="single" w:color="auto" w:sz="4" w:space="0"/>
              <w:bottom w:val="single" w:color="auto" w:sz="4" w:space="0"/>
              <w:right w:val="single" w:color="auto" w:sz="4" w:space="0"/>
            </w:tcBorders>
            <w:noWrap w:val="0"/>
            <w:vAlign w:val="top"/>
          </w:tcPr>
          <w:p w14:paraId="4EB3701B">
            <w:pPr>
              <w:rPr>
                <w:rFonts w:hint="eastAsia" w:ascii="宋体" w:hAnsi="宋体" w:eastAsia="宋体" w:cs="宋体"/>
                <w:sz w:val="24"/>
              </w:rPr>
            </w:pPr>
            <w:r>
              <w:rPr>
                <w:rFonts w:hint="eastAsia" w:ascii="宋体" w:hAnsi="宋体" w:eastAsia="宋体" w:cs="宋体"/>
                <w:sz w:val="24"/>
              </w:rPr>
              <w:t>逾期付款违约金的利率：不适用；</w:t>
            </w:r>
          </w:p>
        </w:tc>
      </w:tr>
      <w:tr w14:paraId="078A5EC0">
        <w:tblPrEx>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noWrap w:val="0"/>
            <w:vAlign w:val="center"/>
          </w:tcPr>
          <w:p w14:paraId="67A5AA95">
            <w:pPr>
              <w:spacing w:line="400" w:lineRule="exact"/>
              <w:jc w:val="center"/>
              <w:rPr>
                <w:rFonts w:hint="eastAsia" w:ascii="宋体" w:hAnsi="宋体" w:eastAsia="宋体" w:cs="宋体"/>
                <w:sz w:val="24"/>
              </w:rPr>
            </w:pPr>
            <w:r>
              <w:rPr>
                <w:rFonts w:hint="eastAsia" w:ascii="宋体" w:hAnsi="宋体" w:eastAsia="宋体" w:cs="宋体"/>
                <w:sz w:val="24"/>
              </w:rPr>
              <w:t>18</w:t>
            </w:r>
          </w:p>
        </w:tc>
        <w:tc>
          <w:tcPr>
            <w:tcW w:w="1176" w:type="dxa"/>
            <w:tcBorders>
              <w:top w:val="single" w:color="auto" w:sz="4" w:space="0"/>
              <w:left w:val="single" w:color="auto" w:sz="4" w:space="0"/>
              <w:bottom w:val="single" w:color="auto" w:sz="4" w:space="0"/>
              <w:right w:val="single" w:color="auto" w:sz="4" w:space="0"/>
            </w:tcBorders>
            <w:noWrap w:val="0"/>
            <w:vAlign w:val="center"/>
          </w:tcPr>
          <w:p w14:paraId="64DF5BAF">
            <w:pPr>
              <w:spacing w:line="400" w:lineRule="exact"/>
              <w:jc w:val="center"/>
              <w:rPr>
                <w:rFonts w:hint="eastAsia" w:ascii="宋体" w:hAnsi="宋体" w:eastAsia="宋体" w:cs="宋体"/>
                <w:sz w:val="24"/>
              </w:rPr>
            </w:pPr>
            <w:r>
              <w:rPr>
                <w:rFonts w:hint="eastAsia" w:ascii="宋体" w:hAnsi="宋体" w:eastAsia="宋体" w:cs="宋体"/>
                <w:sz w:val="24"/>
              </w:rPr>
              <w:t>17.4.1</w:t>
            </w:r>
          </w:p>
        </w:tc>
        <w:tc>
          <w:tcPr>
            <w:tcW w:w="7380" w:type="dxa"/>
            <w:tcBorders>
              <w:top w:val="single" w:color="auto" w:sz="4" w:space="0"/>
              <w:left w:val="single" w:color="auto" w:sz="4" w:space="0"/>
              <w:bottom w:val="single" w:color="auto" w:sz="4" w:space="0"/>
              <w:right w:val="single" w:color="auto" w:sz="4" w:space="0"/>
            </w:tcBorders>
            <w:noWrap w:val="0"/>
            <w:vAlign w:val="top"/>
          </w:tcPr>
          <w:p w14:paraId="0D6518A9">
            <w:pPr>
              <w:spacing w:line="400" w:lineRule="exact"/>
              <w:rPr>
                <w:rFonts w:hint="eastAsia" w:ascii="宋体" w:hAnsi="宋体" w:eastAsia="宋体" w:cs="宋体"/>
                <w:sz w:val="24"/>
              </w:rPr>
            </w:pPr>
            <w:r>
              <w:rPr>
                <w:rFonts w:hint="eastAsia" w:ascii="宋体" w:hAnsi="宋体" w:eastAsia="宋体" w:cs="宋体"/>
                <w:sz w:val="24"/>
              </w:rPr>
              <w:t>质量保证金百分比：总支付额的</w:t>
            </w:r>
            <w:r>
              <w:rPr>
                <w:rFonts w:hint="eastAsia" w:ascii="宋体" w:hAnsi="宋体" w:cs="宋体"/>
                <w:sz w:val="24"/>
                <w:u w:val="single"/>
                <w:lang w:val="en-US" w:eastAsia="zh-CN"/>
              </w:rPr>
              <w:t xml:space="preserve">    </w:t>
            </w:r>
            <w:r>
              <w:rPr>
                <w:rFonts w:hint="eastAsia" w:ascii="宋体" w:hAnsi="宋体" w:eastAsia="宋体" w:cs="宋体"/>
                <w:sz w:val="24"/>
              </w:rPr>
              <w:t>%；</w:t>
            </w:r>
          </w:p>
        </w:tc>
      </w:tr>
      <w:tr w14:paraId="69CF4C6A">
        <w:tblPrEx>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noWrap w:val="0"/>
            <w:vAlign w:val="center"/>
          </w:tcPr>
          <w:p w14:paraId="78BBC254">
            <w:pPr>
              <w:spacing w:line="400" w:lineRule="exact"/>
              <w:jc w:val="center"/>
              <w:rPr>
                <w:rFonts w:hint="eastAsia" w:ascii="宋体" w:hAnsi="宋体" w:eastAsia="宋体" w:cs="宋体"/>
                <w:sz w:val="24"/>
              </w:rPr>
            </w:pPr>
            <w:r>
              <w:rPr>
                <w:rFonts w:hint="eastAsia" w:ascii="宋体" w:hAnsi="宋体" w:eastAsia="宋体" w:cs="宋体"/>
                <w:sz w:val="24"/>
              </w:rPr>
              <w:t>19</w:t>
            </w:r>
          </w:p>
        </w:tc>
        <w:tc>
          <w:tcPr>
            <w:tcW w:w="1176" w:type="dxa"/>
            <w:tcBorders>
              <w:top w:val="single" w:color="auto" w:sz="4" w:space="0"/>
              <w:left w:val="single" w:color="auto" w:sz="4" w:space="0"/>
              <w:bottom w:val="single" w:color="auto" w:sz="4" w:space="0"/>
              <w:right w:val="single" w:color="auto" w:sz="4" w:space="0"/>
            </w:tcBorders>
            <w:noWrap w:val="0"/>
            <w:vAlign w:val="center"/>
          </w:tcPr>
          <w:p w14:paraId="7511AC11">
            <w:pPr>
              <w:spacing w:line="400" w:lineRule="exact"/>
              <w:jc w:val="center"/>
              <w:rPr>
                <w:rFonts w:hint="eastAsia" w:ascii="宋体" w:hAnsi="宋体" w:eastAsia="宋体" w:cs="宋体"/>
                <w:sz w:val="24"/>
              </w:rPr>
            </w:pPr>
            <w:r>
              <w:rPr>
                <w:rFonts w:hint="eastAsia" w:ascii="宋体" w:hAnsi="宋体" w:eastAsia="宋体" w:cs="宋体"/>
                <w:sz w:val="24"/>
              </w:rPr>
              <w:t>17.4.1</w:t>
            </w:r>
          </w:p>
        </w:tc>
        <w:tc>
          <w:tcPr>
            <w:tcW w:w="7380" w:type="dxa"/>
            <w:tcBorders>
              <w:top w:val="single" w:color="auto" w:sz="4" w:space="0"/>
              <w:left w:val="single" w:color="auto" w:sz="4" w:space="0"/>
              <w:bottom w:val="single" w:color="auto" w:sz="4" w:space="0"/>
              <w:right w:val="single" w:color="auto" w:sz="4" w:space="0"/>
            </w:tcBorders>
            <w:noWrap w:val="0"/>
            <w:vAlign w:val="top"/>
          </w:tcPr>
          <w:p w14:paraId="21C23463">
            <w:pPr>
              <w:spacing w:line="400" w:lineRule="exact"/>
              <w:rPr>
                <w:rFonts w:hint="eastAsia" w:ascii="宋体" w:hAnsi="宋体" w:eastAsia="宋体" w:cs="宋体"/>
                <w:sz w:val="24"/>
              </w:rPr>
            </w:pPr>
            <w:r>
              <w:rPr>
                <w:rFonts w:hint="eastAsia" w:ascii="宋体" w:hAnsi="宋体" w:eastAsia="宋体" w:cs="宋体"/>
                <w:sz w:val="24"/>
              </w:rPr>
              <w:t>质量保证金限额：</w:t>
            </w:r>
            <w:r>
              <w:rPr>
                <w:rFonts w:hint="eastAsia" w:ascii="宋体" w:hAnsi="宋体" w:eastAsia="宋体" w:cs="宋体"/>
                <w:sz w:val="24"/>
                <w:u w:val="single"/>
              </w:rPr>
              <w:t>　</w:t>
            </w:r>
            <w:r>
              <w:rPr>
                <w:rFonts w:hint="eastAsia" w:ascii="宋体" w:hAnsi="宋体" w:cs="宋体"/>
                <w:sz w:val="24"/>
                <w:u w:val="single"/>
                <w:lang w:val="en-US" w:eastAsia="zh-CN"/>
              </w:rPr>
              <w:t xml:space="preserve">  </w:t>
            </w:r>
            <w:r>
              <w:rPr>
                <w:rFonts w:hint="eastAsia" w:ascii="宋体" w:hAnsi="宋体" w:eastAsia="宋体" w:cs="宋体"/>
                <w:sz w:val="24"/>
                <w:u w:val="single"/>
              </w:rPr>
              <w:t xml:space="preserve"> </w:t>
            </w:r>
            <w:r>
              <w:rPr>
                <w:rFonts w:hint="eastAsia" w:ascii="宋体" w:hAnsi="宋体" w:eastAsia="宋体" w:cs="宋体"/>
                <w:sz w:val="24"/>
              </w:rPr>
              <w:t>%合同价格；</w:t>
            </w:r>
          </w:p>
        </w:tc>
      </w:tr>
      <w:tr w14:paraId="2422955C">
        <w:tblPrEx>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noWrap w:val="0"/>
            <w:vAlign w:val="center"/>
          </w:tcPr>
          <w:p w14:paraId="10FFE9C1">
            <w:pPr>
              <w:spacing w:line="400" w:lineRule="exact"/>
              <w:jc w:val="center"/>
              <w:rPr>
                <w:rFonts w:hint="eastAsia" w:ascii="宋体" w:hAnsi="宋体" w:eastAsia="宋体" w:cs="宋体"/>
                <w:sz w:val="24"/>
              </w:rPr>
            </w:pPr>
            <w:r>
              <w:rPr>
                <w:rFonts w:hint="eastAsia" w:ascii="宋体" w:hAnsi="宋体" w:eastAsia="宋体" w:cs="宋体"/>
                <w:sz w:val="24"/>
              </w:rPr>
              <w:t>20</w:t>
            </w:r>
          </w:p>
        </w:tc>
        <w:tc>
          <w:tcPr>
            <w:tcW w:w="1176" w:type="dxa"/>
            <w:tcBorders>
              <w:top w:val="single" w:color="auto" w:sz="4" w:space="0"/>
              <w:left w:val="single" w:color="auto" w:sz="4" w:space="0"/>
              <w:bottom w:val="single" w:color="auto" w:sz="4" w:space="0"/>
              <w:right w:val="single" w:color="auto" w:sz="4" w:space="0"/>
            </w:tcBorders>
            <w:noWrap w:val="0"/>
            <w:vAlign w:val="center"/>
          </w:tcPr>
          <w:p w14:paraId="72AF3A5C">
            <w:pPr>
              <w:spacing w:line="400" w:lineRule="exact"/>
              <w:jc w:val="center"/>
              <w:rPr>
                <w:rFonts w:hint="eastAsia" w:ascii="宋体" w:hAnsi="宋体" w:eastAsia="宋体" w:cs="宋体"/>
                <w:sz w:val="24"/>
              </w:rPr>
            </w:pPr>
            <w:r>
              <w:rPr>
                <w:rFonts w:hint="eastAsia" w:ascii="宋体" w:hAnsi="宋体" w:eastAsia="宋体" w:cs="宋体"/>
                <w:sz w:val="24"/>
              </w:rPr>
              <w:t>17.5.1</w:t>
            </w:r>
          </w:p>
        </w:tc>
        <w:tc>
          <w:tcPr>
            <w:tcW w:w="7380" w:type="dxa"/>
            <w:tcBorders>
              <w:top w:val="single" w:color="auto" w:sz="4" w:space="0"/>
              <w:left w:val="single" w:color="auto" w:sz="4" w:space="0"/>
              <w:bottom w:val="single" w:color="auto" w:sz="4" w:space="0"/>
              <w:right w:val="single" w:color="auto" w:sz="4" w:space="0"/>
            </w:tcBorders>
            <w:noWrap w:val="0"/>
            <w:vAlign w:val="top"/>
          </w:tcPr>
          <w:p w14:paraId="6958188B">
            <w:pPr>
              <w:rPr>
                <w:rFonts w:hint="eastAsia" w:ascii="宋体" w:hAnsi="宋体" w:eastAsia="宋体" w:cs="宋体"/>
                <w:sz w:val="24"/>
              </w:rPr>
            </w:pPr>
            <w:r>
              <w:rPr>
                <w:rFonts w:hint="eastAsia" w:ascii="宋体" w:hAnsi="宋体" w:eastAsia="宋体" w:cs="宋体"/>
                <w:sz w:val="24"/>
              </w:rPr>
              <w:t>承包人向业主提交交工付款申请单（包括相关证明材料）的份数：</w:t>
            </w:r>
            <w:r>
              <w:rPr>
                <w:rFonts w:hint="eastAsia" w:ascii="宋体" w:hAnsi="宋体" w:cs="宋体"/>
                <w:sz w:val="24"/>
                <w:lang w:val="en-US" w:eastAsia="zh-CN"/>
              </w:rPr>
              <w:t xml:space="preserve"> </w:t>
            </w:r>
            <w:r>
              <w:rPr>
                <w:rFonts w:hint="eastAsia" w:ascii="宋体" w:hAnsi="宋体" w:eastAsia="宋体" w:cs="宋体"/>
                <w:sz w:val="24"/>
              </w:rPr>
              <w:t>份；</w:t>
            </w:r>
          </w:p>
        </w:tc>
      </w:tr>
      <w:tr w14:paraId="1896CBA2">
        <w:tblPrEx>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noWrap w:val="0"/>
            <w:vAlign w:val="center"/>
          </w:tcPr>
          <w:p w14:paraId="1BD528EF">
            <w:pPr>
              <w:spacing w:line="400" w:lineRule="exact"/>
              <w:jc w:val="center"/>
              <w:rPr>
                <w:rFonts w:hint="eastAsia" w:ascii="宋体" w:hAnsi="宋体" w:eastAsia="宋体" w:cs="宋体"/>
                <w:sz w:val="24"/>
              </w:rPr>
            </w:pPr>
            <w:r>
              <w:rPr>
                <w:rFonts w:hint="eastAsia" w:ascii="宋体" w:hAnsi="宋体" w:eastAsia="宋体" w:cs="宋体"/>
                <w:sz w:val="24"/>
              </w:rPr>
              <w:t>21</w:t>
            </w:r>
          </w:p>
        </w:tc>
        <w:tc>
          <w:tcPr>
            <w:tcW w:w="1176" w:type="dxa"/>
            <w:tcBorders>
              <w:top w:val="single" w:color="auto" w:sz="4" w:space="0"/>
              <w:left w:val="single" w:color="auto" w:sz="4" w:space="0"/>
              <w:bottom w:val="single" w:color="auto" w:sz="4" w:space="0"/>
              <w:right w:val="single" w:color="auto" w:sz="4" w:space="0"/>
            </w:tcBorders>
            <w:noWrap w:val="0"/>
            <w:vAlign w:val="center"/>
          </w:tcPr>
          <w:p w14:paraId="511C8679">
            <w:pPr>
              <w:spacing w:line="400" w:lineRule="exact"/>
              <w:jc w:val="center"/>
              <w:rPr>
                <w:rFonts w:hint="eastAsia" w:ascii="宋体" w:hAnsi="宋体" w:eastAsia="宋体" w:cs="宋体"/>
                <w:sz w:val="24"/>
              </w:rPr>
            </w:pPr>
            <w:r>
              <w:rPr>
                <w:rFonts w:hint="eastAsia" w:ascii="宋体" w:hAnsi="宋体" w:eastAsia="宋体" w:cs="宋体"/>
                <w:sz w:val="24"/>
              </w:rPr>
              <w:t>17.6.1</w:t>
            </w:r>
          </w:p>
        </w:tc>
        <w:tc>
          <w:tcPr>
            <w:tcW w:w="7380" w:type="dxa"/>
            <w:tcBorders>
              <w:top w:val="single" w:color="auto" w:sz="4" w:space="0"/>
              <w:left w:val="single" w:color="auto" w:sz="4" w:space="0"/>
              <w:bottom w:val="single" w:color="auto" w:sz="4" w:space="0"/>
              <w:right w:val="single" w:color="auto" w:sz="4" w:space="0"/>
            </w:tcBorders>
            <w:noWrap w:val="0"/>
            <w:vAlign w:val="top"/>
          </w:tcPr>
          <w:p w14:paraId="3BECF772">
            <w:pPr>
              <w:rPr>
                <w:rFonts w:hint="eastAsia" w:ascii="宋体" w:hAnsi="宋体" w:eastAsia="宋体" w:cs="宋体"/>
                <w:sz w:val="24"/>
              </w:rPr>
            </w:pPr>
            <w:r>
              <w:rPr>
                <w:rFonts w:hint="eastAsia" w:ascii="宋体" w:hAnsi="宋体" w:eastAsia="宋体" w:cs="宋体"/>
                <w:sz w:val="24"/>
              </w:rPr>
              <w:t>承包人向业主提交最终结清申请单（包括相关证明材料）的份数：</w:t>
            </w:r>
            <w:r>
              <w:rPr>
                <w:rFonts w:hint="eastAsia" w:ascii="宋体" w:hAnsi="宋体" w:cs="宋体"/>
                <w:sz w:val="24"/>
                <w:lang w:val="en-US" w:eastAsia="zh-CN"/>
              </w:rPr>
              <w:t xml:space="preserve"> </w:t>
            </w:r>
            <w:r>
              <w:rPr>
                <w:rFonts w:hint="eastAsia" w:ascii="宋体" w:hAnsi="宋体" w:eastAsia="宋体" w:cs="宋体"/>
                <w:sz w:val="24"/>
              </w:rPr>
              <w:t>份；</w:t>
            </w:r>
          </w:p>
        </w:tc>
      </w:tr>
      <w:tr w14:paraId="4029346C">
        <w:tblPrEx>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noWrap w:val="0"/>
            <w:vAlign w:val="center"/>
          </w:tcPr>
          <w:p w14:paraId="3543F46A">
            <w:pPr>
              <w:spacing w:line="400" w:lineRule="exact"/>
              <w:jc w:val="center"/>
              <w:rPr>
                <w:rFonts w:hint="eastAsia" w:ascii="宋体" w:hAnsi="宋体" w:eastAsia="宋体" w:cs="宋体"/>
                <w:sz w:val="24"/>
              </w:rPr>
            </w:pPr>
            <w:r>
              <w:rPr>
                <w:rFonts w:hint="eastAsia" w:ascii="宋体" w:hAnsi="宋体" w:eastAsia="宋体" w:cs="宋体"/>
                <w:sz w:val="24"/>
              </w:rPr>
              <w:t>22</w:t>
            </w:r>
          </w:p>
        </w:tc>
        <w:tc>
          <w:tcPr>
            <w:tcW w:w="1176" w:type="dxa"/>
            <w:tcBorders>
              <w:top w:val="single" w:color="auto" w:sz="4" w:space="0"/>
              <w:left w:val="single" w:color="auto" w:sz="4" w:space="0"/>
              <w:bottom w:val="single" w:color="auto" w:sz="4" w:space="0"/>
              <w:right w:val="single" w:color="auto" w:sz="4" w:space="0"/>
            </w:tcBorders>
            <w:noWrap w:val="0"/>
            <w:vAlign w:val="center"/>
          </w:tcPr>
          <w:p w14:paraId="2EC72D3F">
            <w:pPr>
              <w:spacing w:line="400" w:lineRule="exact"/>
              <w:jc w:val="center"/>
              <w:rPr>
                <w:rFonts w:hint="eastAsia" w:ascii="宋体" w:hAnsi="宋体" w:eastAsia="宋体" w:cs="宋体"/>
                <w:sz w:val="24"/>
              </w:rPr>
            </w:pPr>
            <w:r>
              <w:rPr>
                <w:rFonts w:hint="eastAsia" w:ascii="宋体" w:hAnsi="宋体" w:eastAsia="宋体" w:cs="宋体"/>
                <w:sz w:val="24"/>
              </w:rPr>
              <w:t>18.2</w:t>
            </w:r>
          </w:p>
        </w:tc>
        <w:tc>
          <w:tcPr>
            <w:tcW w:w="7380" w:type="dxa"/>
            <w:tcBorders>
              <w:top w:val="single" w:color="auto" w:sz="4" w:space="0"/>
              <w:left w:val="single" w:color="auto" w:sz="4" w:space="0"/>
              <w:bottom w:val="single" w:color="auto" w:sz="4" w:space="0"/>
              <w:right w:val="single" w:color="auto" w:sz="4" w:space="0"/>
            </w:tcBorders>
            <w:noWrap w:val="0"/>
            <w:vAlign w:val="top"/>
          </w:tcPr>
          <w:p w14:paraId="24DEE806">
            <w:pPr>
              <w:spacing w:line="400" w:lineRule="exact"/>
              <w:rPr>
                <w:rFonts w:hint="eastAsia" w:ascii="宋体" w:hAnsi="宋体" w:eastAsia="宋体" w:cs="宋体"/>
                <w:sz w:val="24"/>
              </w:rPr>
            </w:pPr>
            <w:r>
              <w:rPr>
                <w:rFonts w:hint="eastAsia" w:ascii="宋体" w:hAnsi="宋体" w:eastAsia="宋体" w:cs="宋体"/>
                <w:sz w:val="24"/>
              </w:rPr>
              <w:t>竣工资料的份数：</w:t>
            </w:r>
            <w:r>
              <w:rPr>
                <w:rFonts w:hint="eastAsia" w:ascii="宋体" w:hAnsi="宋体" w:eastAsia="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eastAsia="宋体" w:cs="宋体"/>
                <w:sz w:val="24"/>
                <w:u w:val="single"/>
              </w:rPr>
              <w:t xml:space="preserve"> </w:t>
            </w:r>
            <w:r>
              <w:rPr>
                <w:rFonts w:hint="eastAsia" w:ascii="宋体" w:hAnsi="宋体" w:eastAsia="宋体" w:cs="宋体"/>
                <w:sz w:val="24"/>
              </w:rPr>
              <w:t>份；</w:t>
            </w:r>
          </w:p>
        </w:tc>
      </w:tr>
      <w:tr w14:paraId="69824B20">
        <w:tblPrEx>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noWrap w:val="0"/>
            <w:vAlign w:val="center"/>
          </w:tcPr>
          <w:p w14:paraId="46685C77">
            <w:pPr>
              <w:spacing w:line="400" w:lineRule="exact"/>
              <w:jc w:val="center"/>
              <w:rPr>
                <w:rFonts w:hint="eastAsia" w:ascii="宋体" w:hAnsi="宋体" w:eastAsia="宋体" w:cs="宋体"/>
                <w:sz w:val="24"/>
              </w:rPr>
            </w:pPr>
            <w:r>
              <w:rPr>
                <w:rFonts w:hint="eastAsia" w:ascii="宋体" w:hAnsi="宋体" w:eastAsia="宋体" w:cs="宋体"/>
                <w:sz w:val="24"/>
              </w:rPr>
              <w:t>23</w:t>
            </w:r>
          </w:p>
        </w:tc>
        <w:tc>
          <w:tcPr>
            <w:tcW w:w="1176" w:type="dxa"/>
            <w:tcBorders>
              <w:top w:val="single" w:color="auto" w:sz="4" w:space="0"/>
              <w:left w:val="single" w:color="auto" w:sz="4" w:space="0"/>
              <w:bottom w:val="single" w:color="auto" w:sz="4" w:space="0"/>
              <w:right w:val="single" w:color="auto" w:sz="4" w:space="0"/>
            </w:tcBorders>
            <w:noWrap w:val="0"/>
            <w:vAlign w:val="center"/>
          </w:tcPr>
          <w:p w14:paraId="617CA0B7">
            <w:pPr>
              <w:spacing w:line="400" w:lineRule="exact"/>
              <w:jc w:val="center"/>
              <w:rPr>
                <w:rFonts w:hint="eastAsia" w:ascii="宋体" w:hAnsi="宋体" w:eastAsia="宋体" w:cs="宋体"/>
                <w:sz w:val="24"/>
              </w:rPr>
            </w:pPr>
            <w:r>
              <w:rPr>
                <w:rFonts w:hint="eastAsia" w:ascii="宋体" w:hAnsi="宋体" w:eastAsia="宋体" w:cs="宋体"/>
                <w:sz w:val="24"/>
              </w:rPr>
              <w:t>18.5.1</w:t>
            </w:r>
          </w:p>
        </w:tc>
        <w:tc>
          <w:tcPr>
            <w:tcW w:w="7380" w:type="dxa"/>
            <w:tcBorders>
              <w:top w:val="single" w:color="auto" w:sz="4" w:space="0"/>
              <w:left w:val="single" w:color="auto" w:sz="4" w:space="0"/>
              <w:bottom w:val="single" w:color="auto" w:sz="4" w:space="0"/>
              <w:right w:val="single" w:color="auto" w:sz="4" w:space="0"/>
            </w:tcBorders>
            <w:noWrap w:val="0"/>
            <w:vAlign w:val="top"/>
          </w:tcPr>
          <w:p w14:paraId="529A69EF">
            <w:pPr>
              <w:spacing w:line="400" w:lineRule="exact"/>
              <w:rPr>
                <w:rFonts w:hint="eastAsia" w:ascii="宋体" w:hAnsi="宋体" w:eastAsia="宋体" w:cs="宋体"/>
                <w:sz w:val="24"/>
                <w:u w:val="single"/>
              </w:rPr>
            </w:pPr>
            <w:r>
              <w:rPr>
                <w:rFonts w:hint="eastAsia" w:ascii="宋体" w:hAnsi="宋体" w:eastAsia="宋体" w:cs="宋体"/>
                <w:sz w:val="24"/>
              </w:rPr>
              <w:t>单位工程或工程设备是否需投入施工期运行：</w:t>
            </w:r>
            <w:r>
              <w:rPr>
                <w:rFonts w:hint="eastAsia" w:ascii="宋体" w:hAnsi="宋体" w:cs="宋体"/>
                <w:sz w:val="24"/>
                <w:u w:val="single"/>
                <w:lang w:val="en-US" w:eastAsia="zh-CN"/>
              </w:rPr>
              <w:t xml:space="preserve">     </w:t>
            </w:r>
            <w:r>
              <w:rPr>
                <w:rFonts w:hint="eastAsia" w:ascii="宋体" w:hAnsi="宋体" w:eastAsia="宋体" w:cs="宋体"/>
                <w:sz w:val="24"/>
              </w:rPr>
              <w:t>；</w:t>
            </w:r>
          </w:p>
        </w:tc>
      </w:tr>
      <w:tr w14:paraId="29BBFA37">
        <w:tblPrEx>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noWrap w:val="0"/>
            <w:vAlign w:val="center"/>
          </w:tcPr>
          <w:p w14:paraId="7FFC9F43">
            <w:pPr>
              <w:spacing w:line="400" w:lineRule="exact"/>
              <w:jc w:val="center"/>
              <w:rPr>
                <w:rFonts w:hint="eastAsia" w:ascii="宋体" w:hAnsi="宋体" w:eastAsia="宋体" w:cs="宋体"/>
                <w:sz w:val="24"/>
              </w:rPr>
            </w:pPr>
            <w:r>
              <w:rPr>
                <w:rFonts w:hint="eastAsia" w:ascii="宋体" w:hAnsi="宋体" w:eastAsia="宋体" w:cs="宋体"/>
                <w:sz w:val="24"/>
              </w:rPr>
              <w:t>24</w:t>
            </w:r>
          </w:p>
        </w:tc>
        <w:tc>
          <w:tcPr>
            <w:tcW w:w="1176" w:type="dxa"/>
            <w:tcBorders>
              <w:top w:val="single" w:color="auto" w:sz="4" w:space="0"/>
              <w:left w:val="single" w:color="auto" w:sz="4" w:space="0"/>
              <w:bottom w:val="single" w:color="auto" w:sz="4" w:space="0"/>
              <w:right w:val="single" w:color="auto" w:sz="4" w:space="0"/>
            </w:tcBorders>
            <w:noWrap w:val="0"/>
            <w:vAlign w:val="center"/>
          </w:tcPr>
          <w:p w14:paraId="335385B3">
            <w:pPr>
              <w:spacing w:line="400" w:lineRule="exact"/>
              <w:jc w:val="center"/>
              <w:rPr>
                <w:rFonts w:hint="eastAsia" w:ascii="宋体" w:hAnsi="宋体" w:eastAsia="宋体" w:cs="宋体"/>
                <w:sz w:val="24"/>
              </w:rPr>
            </w:pPr>
            <w:r>
              <w:rPr>
                <w:rFonts w:hint="eastAsia" w:ascii="宋体" w:hAnsi="宋体" w:eastAsia="宋体" w:cs="宋体"/>
                <w:sz w:val="24"/>
              </w:rPr>
              <w:t>18.6.1</w:t>
            </w:r>
          </w:p>
        </w:tc>
        <w:tc>
          <w:tcPr>
            <w:tcW w:w="7380" w:type="dxa"/>
            <w:tcBorders>
              <w:top w:val="single" w:color="auto" w:sz="4" w:space="0"/>
              <w:left w:val="single" w:color="auto" w:sz="4" w:space="0"/>
              <w:bottom w:val="single" w:color="auto" w:sz="4" w:space="0"/>
              <w:right w:val="single" w:color="auto" w:sz="4" w:space="0"/>
            </w:tcBorders>
            <w:noWrap w:val="0"/>
            <w:vAlign w:val="top"/>
          </w:tcPr>
          <w:p w14:paraId="6518F28B">
            <w:pPr>
              <w:spacing w:line="400" w:lineRule="exact"/>
              <w:rPr>
                <w:rFonts w:hint="eastAsia" w:ascii="宋体" w:hAnsi="宋体" w:eastAsia="宋体" w:cs="宋体"/>
                <w:sz w:val="24"/>
                <w:u w:val="single"/>
              </w:rPr>
            </w:pPr>
            <w:r>
              <w:rPr>
                <w:rFonts w:hint="eastAsia" w:ascii="宋体" w:hAnsi="宋体" w:eastAsia="宋体" w:cs="宋体"/>
                <w:sz w:val="24"/>
              </w:rPr>
              <w:t>本工程及工程设备是否进行试运行：</w:t>
            </w:r>
            <w:r>
              <w:rPr>
                <w:rFonts w:hint="eastAsia" w:ascii="宋体" w:hAnsi="宋体" w:cs="宋体"/>
                <w:sz w:val="24"/>
                <w:u w:val="single"/>
                <w:lang w:val="en-US" w:eastAsia="zh-CN"/>
              </w:rPr>
              <w:t xml:space="preserve">    </w:t>
            </w:r>
            <w:r>
              <w:rPr>
                <w:rFonts w:hint="eastAsia" w:ascii="宋体" w:hAnsi="宋体" w:eastAsia="宋体" w:cs="宋体"/>
                <w:sz w:val="24"/>
              </w:rPr>
              <w:t>；</w:t>
            </w:r>
          </w:p>
        </w:tc>
      </w:tr>
      <w:tr w14:paraId="780E283C">
        <w:tblPrEx>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noWrap w:val="0"/>
            <w:vAlign w:val="center"/>
          </w:tcPr>
          <w:p w14:paraId="06945215">
            <w:pPr>
              <w:spacing w:line="400" w:lineRule="exact"/>
              <w:jc w:val="center"/>
              <w:rPr>
                <w:rFonts w:hint="eastAsia" w:ascii="宋体" w:hAnsi="宋体" w:eastAsia="宋体" w:cs="宋体"/>
                <w:sz w:val="24"/>
                <w:highlight w:val="none"/>
              </w:rPr>
            </w:pPr>
            <w:r>
              <w:rPr>
                <w:rFonts w:hint="eastAsia" w:ascii="宋体" w:hAnsi="宋体" w:eastAsia="宋体" w:cs="宋体"/>
                <w:sz w:val="24"/>
                <w:highlight w:val="none"/>
              </w:rPr>
              <w:t>25</w:t>
            </w:r>
          </w:p>
        </w:tc>
        <w:tc>
          <w:tcPr>
            <w:tcW w:w="1176" w:type="dxa"/>
            <w:tcBorders>
              <w:top w:val="single" w:color="auto" w:sz="4" w:space="0"/>
              <w:left w:val="single" w:color="auto" w:sz="4" w:space="0"/>
              <w:bottom w:val="single" w:color="auto" w:sz="4" w:space="0"/>
              <w:right w:val="single" w:color="auto" w:sz="4" w:space="0"/>
            </w:tcBorders>
            <w:noWrap w:val="0"/>
            <w:vAlign w:val="center"/>
          </w:tcPr>
          <w:p w14:paraId="3C0F76B6">
            <w:pPr>
              <w:spacing w:line="400" w:lineRule="exact"/>
              <w:jc w:val="center"/>
              <w:rPr>
                <w:rFonts w:hint="eastAsia" w:ascii="宋体" w:hAnsi="宋体" w:eastAsia="宋体" w:cs="宋体"/>
                <w:sz w:val="24"/>
                <w:highlight w:val="none"/>
              </w:rPr>
            </w:pPr>
            <w:r>
              <w:rPr>
                <w:rFonts w:hint="eastAsia" w:ascii="宋体" w:hAnsi="宋体" w:eastAsia="宋体" w:cs="宋体"/>
                <w:sz w:val="24"/>
                <w:highlight w:val="none"/>
              </w:rPr>
              <w:t>19.7</w:t>
            </w:r>
          </w:p>
        </w:tc>
        <w:tc>
          <w:tcPr>
            <w:tcW w:w="7380" w:type="dxa"/>
            <w:tcBorders>
              <w:top w:val="single" w:color="auto" w:sz="4" w:space="0"/>
              <w:left w:val="single" w:color="auto" w:sz="4" w:space="0"/>
              <w:bottom w:val="single" w:color="auto" w:sz="4" w:space="0"/>
              <w:right w:val="single" w:color="auto" w:sz="4" w:space="0"/>
            </w:tcBorders>
            <w:noWrap w:val="0"/>
            <w:vAlign w:val="top"/>
          </w:tcPr>
          <w:p w14:paraId="7BEB58C3">
            <w:pPr>
              <w:spacing w:line="400" w:lineRule="exact"/>
              <w:rPr>
                <w:rFonts w:hint="eastAsia" w:ascii="宋体" w:hAnsi="宋体" w:eastAsia="宋体" w:cs="宋体"/>
                <w:sz w:val="24"/>
                <w:highlight w:val="none"/>
              </w:rPr>
            </w:pPr>
            <w:r>
              <w:rPr>
                <w:rFonts w:hint="eastAsia" w:ascii="宋体" w:hAnsi="宋体" w:eastAsia="宋体" w:cs="宋体"/>
                <w:sz w:val="24"/>
                <w:highlight w:val="none"/>
              </w:rPr>
              <w:t>保修期：自实际交工日期起计算</w:t>
            </w:r>
            <w:r>
              <w:rPr>
                <w:rFonts w:hint="eastAsia" w:ascii="宋体" w:hAnsi="宋体" w:cs="宋体"/>
                <w:sz w:val="24"/>
                <w:highlight w:val="none"/>
                <w:u w:val="single"/>
                <w:lang w:val="en-US" w:eastAsia="zh-CN"/>
              </w:rPr>
              <w:t xml:space="preserve">     </w:t>
            </w:r>
            <w:r>
              <w:rPr>
                <w:rFonts w:hint="eastAsia" w:ascii="宋体" w:hAnsi="宋体" w:eastAsia="宋体" w:cs="宋体"/>
                <w:sz w:val="24"/>
                <w:highlight w:val="none"/>
              </w:rPr>
              <w:t>年；</w:t>
            </w:r>
          </w:p>
        </w:tc>
      </w:tr>
      <w:tr w14:paraId="1AF22000">
        <w:tblPrEx>
          <w:tblCellMar>
            <w:top w:w="0" w:type="dxa"/>
            <w:left w:w="108" w:type="dxa"/>
            <w:bottom w:w="0" w:type="dxa"/>
            <w:right w:w="108" w:type="dxa"/>
          </w:tblCellMar>
        </w:tblPrEx>
        <w:trPr>
          <w:trHeight w:val="695" w:hRule="atLeast"/>
        </w:trPr>
        <w:tc>
          <w:tcPr>
            <w:tcW w:w="720" w:type="dxa"/>
            <w:tcBorders>
              <w:top w:val="single" w:color="auto" w:sz="4" w:space="0"/>
              <w:left w:val="single" w:color="auto" w:sz="4" w:space="0"/>
              <w:bottom w:val="single" w:color="auto" w:sz="4" w:space="0"/>
              <w:right w:val="single" w:color="auto" w:sz="4" w:space="0"/>
            </w:tcBorders>
            <w:noWrap w:val="0"/>
            <w:vAlign w:val="center"/>
          </w:tcPr>
          <w:p w14:paraId="443C5180">
            <w:pPr>
              <w:spacing w:line="400" w:lineRule="exact"/>
              <w:jc w:val="center"/>
              <w:rPr>
                <w:rFonts w:hint="eastAsia" w:ascii="宋体" w:hAnsi="宋体" w:eastAsia="宋体" w:cs="宋体"/>
                <w:sz w:val="24"/>
                <w:highlight w:val="none"/>
              </w:rPr>
            </w:pPr>
            <w:r>
              <w:rPr>
                <w:rFonts w:hint="eastAsia" w:ascii="宋体" w:hAnsi="宋体" w:eastAsia="宋体" w:cs="宋体"/>
                <w:sz w:val="24"/>
                <w:highlight w:val="none"/>
              </w:rPr>
              <w:t>26</w:t>
            </w:r>
          </w:p>
        </w:tc>
        <w:tc>
          <w:tcPr>
            <w:tcW w:w="1176" w:type="dxa"/>
            <w:tcBorders>
              <w:top w:val="single" w:color="auto" w:sz="4" w:space="0"/>
              <w:left w:val="single" w:color="auto" w:sz="4" w:space="0"/>
              <w:bottom w:val="single" w:color="auto" w:sz="4" w:space="0"/>
              <w:right w:val="single" w:color="auto" w:sz="4" w:space="0"/>
            </w:tcBorders>
            <w:noWrap w:val="0"/>
            <w:vAlign w:val="center"/>
          </w:tcPr>
          <w:p w14:paraId="4D9DF682">
            <w:pPr>
              <w:spacing w:line="400" w:lineRule="exact"/>
              <w:jc w:val="center"/>
              <w:rPr>
                <w:rFonts w:hint="eastAsia" w:ascii="宋体" w:hAnsi="宋体" w:eastAsia="宋体" w:cs="宋体"/>
                <w:sz w:val="24"/>
                <w:highlight w:val="none"/>
              </w:rPr>
            </w:pPr>
            <w:r>
              <w:rPr>
                <w:rFonts w:hint="eastAsia" w:ascii="宋体" w:hAnsi="宋体" w:eastAsia="宋体" w:cs="宋体"/>
                <w:sz w:val="24"/>
                <w:highlight w:val="none"/>
              </w:rPr>
              <w:t>20.1</w:t>
            </w:r>
          </w:p>
        </w:tc>
        <w:tc>
          <w:tcPr>
            <w:tcW w:w="7380" w:type="dxa"/>
            <w:tcBorders>
              <w:top w:val="single" w:color="auto" w:sz="4" w:space="0"/>
              <w:left w:val="single" w:color="auto" w:sz="4" w:space="0"/>
              <w:bottom w:val="single" w:color="auto" w:sz="4" w:space="0"/>
              <w:right w:val="single" w:color="auto" w:sz="4" w:space="0"/>
            </w:tcBorders>
            <w:noWrap w:val="0"/>
            <w:vAlign w:val="top"/>
          </w:tcPr>
          <w:p w14:paraId="6668BA2B">
            <w:pPr>
              <w:spacing w:line="400" w:lineRule="exact"/>
              <w:rPr>
                <w:rFonts w:hint="eastAsia" w:ascii="宋体" w:hAnsi="宋体" w:eastAsia="宋体" w:cs="宋体"/>
                <w:sz w:val="24"/>
              </w:rPr>
            </w:pPr>
            <w:r>
              <w:rPr>
                <w:rFonts w:hint="eastAsia" w:ascii="宋体" w:hAnsi="宋体" w:eastAsia="宋体" w:cs="宋体"/>
                <w:sz w:val="24"/>
              </w:rPr>
              <w:t>工程一切险的投保金额为工程量清单中第200章~第700章合计金额的 3 ‰计列，第三方责任险的投保金额为工程量清单中第200章~第700章合计金额的 1 ‰计列。除上述两项保险以外的其他保险费用，均由承包人承担并支付，业主不予计量。</w:t>
            </w:r>
          </w:p>
          <w:p w14:paraId="24E52397">
            <w:pPr>
              <w:spacing w:line="400" w:lineRule="exact"/>
              <w:rPr>
                <w:rFonts w:hint="eastAsia" w:ascii="宋体" w:hAnsi="宋体" w:eastAsia="宋体" w:cs="宋体"/>
                <w:sz w:val="24"/>
                <w:highlight w:val="none"/>
              </w:rPr>
            </w:pPr>
            <w:r>
              <w:rPr>
                <w:rFonts w:hint="eastAsia" w:ascii="宋体" w:hAnsi="宋体" w:eastAsia="宋体" w:cs="宋体"/>
                <w:sz w:val="24"/>
              </w:rPr>
              <w:t>本工程安全生产费为第200章-第700章合计的1.5 %。</w:t>
            </w:r>
          </w:p>
        </w:tc>
      </w:tr>
      <w:tr w14:paraId="0CDBB254">
        <w:tblPrEx>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noWrap w:val="0"/>
            <w:vAlign w:val="center"/>
          </w:tcPr>
          <w:p w14:paraId="18DD067F">
            <w:pPr>
              <w:spacing w:line="400" w:lineRule="exact"/>
              <w:jc w:val="center"/>
              <w:rPr>
                <w:rFonts w:hint="eastAsia" w:ascii="宋体" w:hAnsi="宋体" w:eastAsia="宋体" w:cs="宋体"/>
                <w:sz w:val="24"/>
                <w:highlight w:val="none"/>
              </w:rPr>
            </w:pPr>
            <w:r>
              <w:rPr>
                <w:rFonts w:hint="eastAsia" w:ascii="宋体" w:hAnsi="宋体" w:eastAsia="宋体" w:cs="宋体"/>
                <w:sz w:val="24"/>
                <w:highlight w:val="none"/>
              </w:rPr>
              <w:t>27</w:t>
            </w:r>
          </w:p>
        </w:tc>
        <w:tc>
          <w:tcPr>
            <w:tcW w:w="1176" w:type="dxa"/>
            <w:tcBorders>
              <w:top w:val="single" w:color="auto" w:sz="4" w:space="0"/>
              <w:left w:val="single" w:color="auto" w:sz="4" w:space="0"/>
              <w:bottom w:val="single" w:color="auto" w:sz="4" w:space="0"/>
              <w:right w:val="single" w:color="auto" w:sz="4" w:space="0"/>
            </w:tcBorders>
            <w:noWrap w:val="0"/>
            <w:vAlign w:val="center"/>
          </w:tcPr>
          <w:p w14:paraId="69C64290">
            <w:pPr>
              <w:spacing w:line="400" w:lineRule="exact"/>
              <w:jc w:val="center"/>
              <w:rPr>
                <w:rFonts w:hint="eastAsia" w:ascii="宋体" w:hAnsi="宋体" w:eastAsia="宋体" w:cs="宋体"/>
                <w:sz w:val="24"/>
                <w:highlight w:val="none"/>
              </w:rPr>
            </w:pPr>
            <w:r>
              <w:rPr>
                <w:rFonts w:hint="eastAsia" w:ascii="宋体" w:hAnsi="宋体" w:eastAsia="宋体" w:cs="宋体"/>
                <w:sz w:val="24"/>
                <w:highlight w:val="none"/>
              </w:rPr>
              <w:t>20.4.2</w:t>
            </w:r>
          </w:p>
        </w:tc>
        <w:tc>
          <w:tcPr>
            <w:tcW w:w="7380" w:type="dxa"/>
            <w:tcBorders>
              <w:top w:val="single" w:color="auto" w:sz="4" w:space="0"/>
              <w:left w:val="single" w:color="auto" w:sz="4" w:space="0"/>
              <w:bottom w:val="single" w:color="auto" w:sz="4" w:space="0"/>
              <w:right w:val="single" w:color="auto" w:sz="4" w:space="0"/>
            </w:tcBorders>
            <w:noWrap w:val="0"/>
            <w:vAlign w:val="top"/>
          </w:tcPr>
          <w:p w14:paraId="0B929B71">
            <w:pPr>
              <w:spacing w:line="400" w:lineRule="exact"/>
              <w:rPr>
                <w:rFonts w:hint="eastAsia" w:ascii="宋体" w:hAnsi="宋体" w:eastAsia="宋体" w:cs="宋体"/>
                <w:sz w:val="24"/>
                <w:highlight w:val="none"/>
              </w:rPr>
            </w:pPr>
            <w:r>
              <w:rPr>
                <w:rFonts w:hint="eastAsia" w:ascii="宋体" w:hAnsi="宋体" w:cs="宋体"/>
                <w:sz w:val="24"/>
                <w:highlight w:val="none"/>
                <w:lang w:val="en-US" w:eastAsia="zh-CN"/>
              </w:rPr>
              <w:t>/</w:t>
            </w:r>
          </w:p>
        </w:tc>
      </w:tr>
      <w:tr w14:paraId="6C1B790A">
        <w:tblPrEx>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noWrap w:val="0"/>
            <w:vAlign w:val="center"/>
          </w:tcPr>
          <w:p w14:paraId="56893F76">
            <w:pPr>
              <w:spacing w:line="400" w:lineRule="exact"/>
              <w:jc w:val="center"/>
              <w:rPr>
                <w:rFonts w:hint="eastAsia" w:ascii="宋体" w:hAnsi="宋体" w:eastAsia="宋体" w:cs="宋体"/>
                <w:sz w:val="24"/>
                <w:highlight w:val="none"/>
              </w:rPr>
            </w:pPr>
            <w:r>
              <w:rPr>
                <w:rFonts w:hint="eastAsia" w:ascii="宋体" w:hAnsi="宋体" w:eastAsia="宋体" w:cs="宋体"/>
                <w:sz w:val="24"/>
                <w:highlight w:val="none"/>
              </w:rPr>
              <w:t>28</w:t>
            </w:r>
          </w:p>
        </w:tc>
        <w:tc>
          <w:tcPr>
            <w:tcW w:w="1176" w:type="dxa"/>
            <w:tcBorders>
              <w:top w:val="single" w:color="auto" w:sz="4" w:space="0"/>
              <w:left w:val="single" w:color="auto" w:sz="4" w:space="0"/>
              <w:bottom w:val="single" w:color="auto" w:sz="4" w:space="0"/>
              <w:right w:val="single" w:color="auto" w:sz="4" w:space="0"/>
            </w:tcBorders>
            <w:noWrap w:val="0"/>
            <w:vAlign w:val="center"/>
          </w:tcPr>
          <w:p w14:paraId="23544008">
            <w:pPr>
              <w:spacing w:line="400" w:lineRule="exact"/>
              <w:jc w:val="center"/>
              <w:rPr>
                <w:rFonts w:hint="eastAsia" w:ascii="宋体" w:hAnsi="宋体" w:eastAsia="宋体" w:cs="宋体"/>
                <w:sz w:val="24"/>
                <w:highlight w:val="none"/>
              </w:rPr>
            </w:pPr>
            <w:r>
              <w:rPr>
                <w:rFonts w:hint="eastAsia" w:ascii="宋体" w:hAnsi="宋体" w:eastAsia="宋体" w:cs="宋体"/>
                <w:sz w:val="24"/>
                <w:highlight w:val="none"/>
              </w:rPr>
              <w:t>24.1</w:t>
            </w:r>
          </w:p>
        </w:tc>
        <w:tc>
          <w:tcPr>
            <w:tcW w:w="7380" w:type="dxa"/>
            <w:tcBorders>
              <w:top w:val="single" w:color="auto" w:sz="4" w:space="0"/>
              <w:left w:val="single" w:color="auto" w:sz="4" w:space="0"/>
              <w:bottom w:val="single" w:color="auto" w:sz="4" w:space="0"/>
              <w:right w:val="single" w:color="auto" w:sz="4" w:space="0"/>
            </w:tcBorders>
            <w:noWrap w:val="0"/>
            <w:vAlign w:val="top"/>
          </w:tcPr>
          <w:p w14:paraId="25CC7D8F">
            <w:pPr>
              <w:rPr>
                <w:rFonts w:hint="eastAsia" w:ascii="宋体" w:hAnsi="宋体" w:eastAsia="宋体" w:cs="宋体"/>
                <w:sz w:val="24"/>
                <w:highlight w:val="none"/>
              </w:rPr>
            </w:pPr>
            <w:r>
              <w:rPr>
                <w:rFonts w:hint="eastAsia" w:ascii="宋体" w:hAnsi="宋体" w:eastAsia="宋体" w:cs="宋体"/>
                <w:sz w:val="24"/>
                <w:highlight w:val="none"/>
              </w:rPr>
              <w:t>争议的最终解决方式：仲裁</w:t>
            </w:r>
            <w:r>
              <w:rPr>
                <w:rFonts w:hint="eastAsia" w:ascii="宋体" w:hAnsi="宋体" w:cs="宋体"/>
                <w:sz w:val="24"/>
                <w:highlight w:val="none"/>
                <w:lang w:eastAsia="zh-CN"/>
              </w:rPr>
              <w:t>，</w:t>
            </w:r>
            <w:r>
              <w:rPr>
                <w:rFonts w:hint="eastAsia" w:ascii="宋体" w:hAnsi="宋体" w:eastAsia="宋体" w:cs="宋体"/>
                <w:sz w:val="24"/>
                <w:highlight w:val="none"/>
              </w:rPr>
              <w:t xml:space="preserve">由当地仲裁机构进行裁决。  </w:t>
            </w:r>
          </w:p>
        </w:tc>
      </w:tr>
      <w:tr w14:paraId="4EAE3D0E">
        <w:tblPrEx>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noWrap w:val="0"/>
            <w:vAlign w:val="top"/>
          </w:tcPr>
          <w:p w14:paraId="4EFE8E4E">
            <w:pPr>
              <w:spacing w:line="400" w:lineRule="exact"/>
              <w:jc w:val="center"/>
              <w:rPr>
                <w:rFonts w:hint="default" w:ascii="宋体" w:hAnsi="宋体" w:eastAsia="宋体" w:cs="宋体"/>
                <w:sz w:val="24"/>
                <w:highlight w:val="none"/>
                <w:lang w:val="en-US" w:eastAsia="zh-CN"/>
              </w:rPr>
            </w:pPr>
            <w:r>
              <w:rPr>
                <w:rFonts w:hint="eastAsia" w:ascii="宋体" w:hAnsi="宋体" w:eastAsia="宋体" w:cs="宋体"/>
                <w:sz w:val="24"/>
                <w:highlight w:val="none"/>
                <w:lang w:val="en-US" w:eastAsia="zh-CN"/>
              </w:rPr>
              <w:t>29</w:t>
            </w:r>
          </w:p>
        </w:tc>
        <w:tc>
          <w:tcPr>
            <w:tcW w:w="1176" w:type="dxa"/>
            <w:tcBorders>
              <w:top w:val="single" w:color="auto" w:sz="4" w:space="0"/>
              <w:left w:val="single" w:color="auto" w:sz="4" w:space="0"/>
              <w:bottom w:val="single" w:color="auto" w:sz="4" w:space="0"/>
              <w:right w:val="single" w:color="auto" w:sz="4" w:space="0"/>
            </w:tcBorders>
            <w:noWrap w:val="0"/>
            <w:vAlign w:val="top"/>
          </w:tcPr>
          <w:p w14:paraId="154E6024">
            <w:pPr>
              <w:spacing w:line="400" w:lineRule="exact"/>
              <w:jc w:val="center"/>
              <w:rPr>
                <w:rFonts w:hint="eastAsia" w:ascii="宋体" w:hAnsi="宋体" w:eastAsia="宋体" w:cs="宋体"/>
                <w:sz w:val="24"/>
                <w:highlight w:val="none"/>
                <w:lang w:val="en-US" w:eastAsia="zh-CN"/>
              </w:rPr>
            </w:pPr>
            <w:r>
              <w:rPr>
                <w:rFonts w:hint="eastAsia" w:ascii="宋体" w:hAnsi="宋体" w:eastAsia="宋体" w:cs="宋体"/>
                <w:sz w:val="24"/>
                <w:highlight w:val="none"/>
              </w:rPr>
              <w:t>群众务工 组织</w:t>
            </w:r>
          </w:p>
        </w:tc>
        <w:tc>
          <w:tcPr>
            <w:tcW w:w="0" w:type="auto"/>
            <w:tcBorders>
              <w:top w:val="single" w:color="auto" w:sz="4" w:space="0"/>
              <w:left w:val="single" w:color="auto" w:sz="4" w:space="0"/>
              <w:bottom w:val="single" w:color="auto" w:sz="4" w:space="0"/>
              <w:right w:val="single" w:color="auto" w:sz="4" w:space="0"/>
            </w:tcBorders>
            <w:noWrap w:val="0"/>
            <w:vAlign w:val="center"/>
          </w:tcPr>
          <w:p w14:paraId="7F877281">
            <w:pPr>
              <w:jc w:val="both"/>
              <w:rPr>
                <w:rFonts w:hint="eastAsia" w:ascii="宋体" w:hAnsi="宋体" w:eastAsia="宋体" w:cs="宋体"/>
                <w:sz w:val="24"/>
                <w:highlight w:val="none"/>
                <w:lang w:val="en-US" w:eastAsia="zh-CN"/>
              </w:rPr>
            </w:pPr>
            <w:r>
              <w:rPr>
                <w:rFonts w:hint="eastAsia" w:ascii="宋体" w:hAnsi="宋体" w:eastAsia="宋体" w:cs="宋体"/>
                <w:sz w:val="24"/>
                <w:highlight w:val="none"/>
              </w:rPr>
              <w:t>吸纳洋县溢水镇尹家泉村、岭底村为主的群众（不少于103人）参与工程项目建设。</w:t>
            </w:r>
            <w:r>
              <w:rPr>
                <w:rFonts w:hint="eastAsia" w:ascii="宋体" w:hAnsi="宋体" w:cs="宋体"/>
                <w:sz w:val="24"/>
                <w:highlight w:val="none"/>
                <w:lang w:val="en-US" w:eastAsia="zh-CN"/>
              </w:rPr>
              <w:t xml:space="preserve"> </w:t>
            </w:r>
          </w:p>
        </w:tc>
      </w:tr>
      <w:tr w14:paraId="4F81E398">
        <w:tblPrEx>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noWrap w:val="0"/>
            <w:vAlign w:val="top"/>
          </w:tcPr>
          <w:p w14:paraId="473D0C06">
            <w:pPr>
              <w:spacing w:line="400" w:lineRule="exact"/>
              <w:jc w:val="center"/>
              <w:rPr>
                <w:rFonts w:hint="default" w:ascii="宋体" w:hAnsi="宋体" w:eastAsia="宋体" w:cs="宋体"/>
                <w:sz w:val="24"/>
                <w:highlight w:val="none"/>
                <w:lang w:val="en-US" w:eastAsia="zh-CN"/>
              </w:rPr>
            </w:pPr>
            <w:r>
              <w:rPr>
                <w:rFonts w:hint="eastAsia" w:ascii="宋体" w:hAnsi="宋体" w:eastAsia="宋体" w:cs="宋体"/>
                <w:sz w:val="24"/>
                <w:highlight w:val="none"/>
                <w:lang w:val="en-US" w:eastAsia="zh-CN"/>
              </w:rPr>
              <w:t>30</w:t>
            </w:r>
          </w:p>
        </w:tc>
        <w:tc>
          <w:tcPr>
            <w:tcW w:w="1176" w:type="dxa"/>
            <w:tcBorders>
              <w:top w:val="single" w:color="auto" w:sz="4" w:space="0"/>
              <w:left w:val="single" w:color="auto" w:sz="4" w:space="0"/>
              <w:bottom w:val="single" w:color="auto" w:sz="4" w:space="0"/>
              <w:right w:val="single" w:color="auto" w:sz="4" w:space="0"/>
            </w:tcBorders>
            <w:noWrap w:val="0"/>
            <w:vAlign w:val="top"/>
          </w:tcPr>
          <w:p w14:paraId="62A7366F">
            <w:pPr>
              <w:spacing w:line="400" w:lineRule="exact"/>
              <w:jc w:val="center"/>
              <w:rPr>
                <w:rFonts w:hint="eastAsia" w:ascii="宋体" w:hAnsi="宋体" w:eastAsia="宋体" w:cs="宋体"/>
                <w:sz w:val="24"/>
                <w:highlight w:val="none"/>
                <w:lang w:val="en-US" w:eastAsia="zh-CN"/>
              </w:rPr>
            </w:pPr>
            <w:r>
              <w:rPr>
                <w:rFonts w:hint="eastAsia" w:ascii="宋体" w:hAnsi="宋体" w:eastAsia="宋体" w:cs="宋体"/>
                <w:sz w:val="24"/>
                <w:highlight w:val="none"/>
              </w:rPr>
              <w:t>劳务报酬 发放</w:t>
            </w:r>
          </w:p>
        </w:tc>
        <w:tc>
          <w:tcPr>
            <w:tcW w:w="0" w:type="auto"/>
            <w:tcBorders>
              <w:top w:val="single" w:color="auto" w:sz="4" w:space="0"/>
              <w:left w:val="single" w:color="auto" w:sz="4" w:space="0"/>
              <w:bottom w:val="single" w:color="auto" w:sz="4" w:space="0"/>
              <w:right w:val="single" w:color="auto" w:sz="4" w:space="0"/>
            </w:tcBorders>
            <w:noWrap w:val="0"/>
            <w:vAlign w:val="center"/>
          </w:tcPr>
          <w:p w14:paraId="74D89A93">
            <w:pPr>
              <w:jc w:val="both"/>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向洋县溢水镇尹家泉村、岭底村为主的当地务工群众发放劳务报酬不低于145万元。</w:t>
            </w:r>
          </w:p>
        </w:tc>
      </w:tr>
    </w:tbl>
    <w:p w14:paraId="5FD73664">
      <w:pPr>
        <w:spacing w:line="400" w:lineRule="exact"/>
        <w:jc w:val="center"/>
        <w:rPr>
          <w:rFonts w:hint="eastAsia" w:ascii="宋体" w:hAnsi="宋体" w:eastAsia="宋体" w:cs="宋体"/>
          <w:sz w:val="24"/>
          <w:highlight w:val="none"/>
        </w:rPr>
      </w:pPr>
    </w:p>
    <w:p w14:paraId="5C6A8B0B">
      <w:pPr>
        <w:jc w:val="center"/>
        <w:rPr>
          <w:rFonts w:hint="eastAsia" w:ascii="宋体" w:hAnsi="宋体" w:eastAsia="宋体" w:cs="宋体"/>
          <w:b/>
          <w:bCs/>
          <w:sz w:val="32"/>
          <w:szCs w:val="32"/>
        </w:rPr>
      </w:pPr>
    </w:p>
    <w:p w14:paraId="7B673F17">
      <w:pPr>
        <w:jc w:val="center"/>
        <w:rPr>
          <w:rFonts w:hint="eastAsia" w:ascii="宋体" w:hAnsi="宋体" w:eastAsia="宋体" w:cs="宋体"/>
          <w:b/>
          <w:bCs/>
          <w:sz w:val="32"/>
          <w:szCs w:val="32"/>
        </w:rPr>
      </w:pPr>
    </w:p>
    <w:p w14:paraId="2B7DA495">
      <w:pPr>
        <w:jc w:val="center"/>
        <w:rPr>
          <w:rFonts w:hint="eastAsia" w:ascii="宋体" w:hAnsi="宋体" w:eastAsia="宋体" w:cs="宋体"/>
          <w:b/>
          <w:bCs/>
          <w:sz w:val="32"/>
          <w:szCs w:val="32"/>
        </w:rPr>
      </w:pPr>
    </w:p>
    <w:p w14:paraId="5EB311F1">
      <w:pPr>
        <w:jc w:val="center"/>
        <w:rPr>
          <w:rFonts w:hint="eastAsia" w:ascii="宋体" w:hAnsi="宋体" w:eastAsia="宋体" w:cs="宋体"/>
          <w:b/>
          <w:bCs/>
          <w:sz w:val="32"/>
          <w:szCs w:val="32"/>
        </w:rPr>
      </w:pPr>
    </w:p>
    <w:p w14:paraId="4F2C2698">
      <w:pPr>
        <w:jc w:val="center"/>
        <w:rPr>
          <w:rFonts w:hint="eastAsia" w:ascii="宋体" w:hAnsi="宋体" w:eastAsia="宋体" w:cs="宋体"/>
          <w:b/>
          <w:bCs/>
          <w:sz w:val="32"/>
          <w:szCs w:val="32"/>
        </w:rPr>
      </w:pPr>
    </w:p>
    <w:p w14:paraId="34285094">
      <w:pPr>
        <w:jc w:val="center"/>
        <w:rPr>
          <w:rFonts w:hint="eastAsia" w:ascii="宋体" w:hAnsi="宋体" w:eastAsia="宋体" w:cs="宋体"/>
          <w:b/>
          <w:bCs/>
          <w:sz w:val="32"/>
          <w:szCs w:val="32"/>
        </w:rPr>
      </w:pPr>
    </w:p>
    <w:p w14:paraId="0AE3AE54">
      <w:pPr>
        <w:jc w:val="center"/>
        <w:rPr>
          <w:rFonts w:hint="eastAsia" w:ascii="宋体" w:hAnsi="宋体" w:eastAsia="宋体" w:cs="宋体"/>
          <w:b/>
          <w:bCs/>
          <w:sz w:val="32"/>
          <w:szCs w:val="32"/>
        </w:rPr>
      </w:pPr>
    </w:p>
    <w:p w14:paraId="530DF014">
      <w:pPr>
        <w:jc w:val="center"/>
        <w:rPr>
          <w:rFonts w:hint="eastAsia" w:ascii="宋体" w:hAnsi="宋体" w:eastAsia="宋体" w:cs="宋体"/>
          <w:b/>
          <w:bCs/>
          <w:sz w:val="32"/>
          <w:szCs w:val="32"/>
        </w:rPr>
      </w:pPr>
    </w:p>
    <w:p w14:paraId="2354ACC1">
      <w:pPr>
        <w:jc w:val="center"/>
        <w:rPr>
          <w:rFonts w:hint="eastAsia" w:ascii="宋体" w:hAnsi="宋体" w:eastAsia="宋体" w:cs="宋体"/>
          <w:b/>
          <w:bCs/>
          <w:sz w:val="32"/>
          <w:szCs w:val="32"/>
        </w:rPr>
      </w:pPr>
    </w:p>
    <w:p w14:paraId="730BCE0E">
      <w:pPr>
        <w:jc w:val="center"/>
        <w:rPr>
          <w:rFonts w:hint="eastAsia" w:ascii="宋体" w:hAnsi="宋体" w:eastAsia="宋体" w:cs="宋体"/>
          <w:sz w:val="24"/>
        </w:rPr>
      </w:pPr>
      <w:r>
        <w:rPr>
          <w:rFonts w:hint="eastAsia" w:ascii="宋体" w:hAnsi="宋体" w:eastAsia="宋体" w:cs="宋体"/>
          <w:b/>
          <w:bCs/>
          <w:sz w:val="32"/>
          <w:szCs w:val="32"/>
        </w:rPr>
        <w:br w:type="page"/>
      </w:r>
      <w:r>
        <w:rPr>
          <w:rFonts w:hint="eastAsia" w:ascii="宋体" w:hAnsi="宋体" w:eastAsia="宋体" w:cs="宋体"/>
          <w:b/>
          <w:bCs/>
          <w:sz w:val="32"/>
          <w:szCs w:val="32"/>
        </w:rPr>
        <w:t>项目专用合同条款</w:t>
      </w:r>
    </w:p>
    <w:p w14:paraId="7BA99996">
      <w:pPr>
        <w:spacing w:line="312" w:lineRule="auto"/>
        <w:ind w:firstLine="480" w:firstLineChars="200"/>
        <w:rPr>
          <w:rFonts w:hint="eastAsia" w:ascii="宋体" w:hAnsi="宋体" w:eastAsia="宋体" w:cs="宋体"/>
          <w:sz w:val="24"/>
        </w:rPr>
      </w:pPr>
      <w:r>
        <w:rPr>
          <w:rFonts w:hint="eastAsia" w:ascii="宋体" w:hAnsi="宋体" w:eastAsia="宋体" w:cs="宋体"/>
          <w:sz w:val="24"/>
        </w:rPr>
        <w:t>项目专用合同条款是对通用合同条款和公路工程专用合同条款的补充、删改或具体化。应对照通用合同条款和公路工程专用合同条款中同一编号的条款一起阅读和理解。</w:t>
      </w:r>
    </w:p>
    <w:p w14:paraId="6A7B1851">
      <w:pPr>
        <w:spacing w:line="312" w:lineRule="auto"/>
        <w:rPr>
          <w:rFonts w:hint="eastAsia" w:ascii="宋体" w:hAnsi="宋体" w:eastAsia="宋体" w:cs="宋体"/>
          <w:sz w:val="24"/>
        </w:rPr>
      </w:pPr>
      <w:r>
        <w:rPr>
          <w:rFonts w:hint="eastAsia" w:ascii="宋体" w:hAnsi="宋体" w:eastAsia="宋体" w:cs="宋体"/>
          <w:b/>
          <w:bCs/>
          <w:sz w:val="24"/>
        </w:rPr>
        <w:t>1.6图纸和承包人文件</w:t>
      </w:r>
    </w:p>
    <w:p w14:paraId="161DFF85">
      <w:pPr>
        <w:spacing w:line="312" w:lineRule="auto"/>
        <w:rPr>
          <w:rFonts w:hint="eastAsia" w:ascii="宋体" w:hAnsi="宋体" w:eastAsia="宋体" w:cs="宋体"/>
          <w:sz w:val="24"/>
        </w:rPr>
      </w:pPr>
      <w:r>
        <w:rPr>
          <w:rFonts w:hint="eastAsia" w:ascii="宋体" w:hAnsi="宋体" w:eastAsia="宋体" w:cs="宋体"/>
          <w:sz w:val="24"/>
        </w:rPr>
        <w:t>1.6.1 图纸的提供</w:t>
      </w:r>
    </w:p>
    <w:p w14:paraId="3B77991B">
      <w:pPr>
        <w:spacing w:line="312" w:lineRule="auto"/>
        <w:ind w:firstLine="480" w:firstLineChars="200"/>
        <w:rPr>
          <w:rFonts w:hint="eastAsia" w:ascii="宋体" w:hAnsi="宋体" w:eastAsia="宋体" w:cs="宋体"/>
          <w:sz w:val="24"/>
        </w:rPr>
      </w:pPr>
      <w:r>
        <w:rPr>
          <w:rFonts w:hint="eastAsia" w:ascii="宋体" w:hAnsi="宋体" w:eastAsia="宋体" w:cs="宋体"/>
          <w:sz w:val="24"/>
        </w:rPr>
        <w:t>本项补充：</w:t>
      </w:r>
    </w:p>
    <w:p w14:paraId="3D444B54">
      <w:pPr>
        <w:spacing w:line="312" w:lineRule="auto"/>
        <w:ind w:firstLine="480" w:firstLineChars="200"/>
        <w:rPr>
          <w:rFonts w:hint="eastAsia" w:ascii="宋体" w:hAnsi="宋体" w:eastAsia="宋体" w:cs="宋体"/>
          <w:sz w:val="24"/>
        </w:rPr>
      </w:pPr>
      <w:r>
        <w:rPr>
          <w:rFonts w:hint="eastAsia" w:ascii="宋体" w:hAnsi="宋体" w:eastAsia="宋体" w:cs="宋体"/>
          <w:sz w:val="24"/>
        </w:rPr>
        <w:t>监理人有权随时向承包人发出为满足本合同工程的正确实施和完成其缺陷修复所需的补充图纸和有关指示，承包人应予执行，并受其约束。</w:t>
      </w:r>
    </w:p>
    <w:p w14:paraId="3DD36B42">
      <w:pPr>
        <w:spacing w:line="312" w:lineRule="auto"/>
        <w:rPr>
          <w:rFonts w:hint="eastAsia" w:ascii="宋体" w:hAnsi="宋体" w:eastAsia="宋体" w:cs="宋体"/>
          <w:sz w:val="24"/>
        </w:rPr>
      </w:pPr>
      <w:r>
        <w:rPr>
          <w:rFonts w:hint="eastAsia" w:ascii="宋体" w:hAnsi="宋体" w:eastAsia="宋体" w:cs="宋体"/>
          <w:sz w:val="24"/>
        </w:rPr>
        <w:t>1.6.2 承包人提供的文件</w:t>
      </w:r>
    </w:p>
    <w:p w14:paraId="6EA4BAC6">
      <w:pPr>
        <w:spacing w:line="312" w:lineRule="auto"/>
        <w:ind w:firstLine="480" w:firstLineChars="200"/>
        <w:rPr>
          <w:rFonts w:hint="eastAsia" w:ascii="宋体" w:hAnsi="宋体" w:eastAsia="宋体" w:cs="宋体"/>
          <w:sz w:val="24"/>
        </w:rPr>
      </w:pPr>
      <w:r>
        <w:rPr>
          <w:rFonts w:hint="eastAsia" w:ascii="宋体" w:hAnsi="宋体" w:eastAsia="宋体" w:cs="宋体"/>
          <w:sz w:val="24"/>
        </w:rPr>
        <w:t>本项补充：</w:t>
      </w:r>
    </w:p>
    <w:p w14:paraId="39551188">
      <w:pPr>
        <w:spacing w:line="312" w:lineRule="auto"/>
        <w:ind w:firstLine="480" w:firstLineChars="200"/>
        <w:rPr>
          <w:rFonts w:hint="eastAsia" w:ascii="宋体" w:hAnsi="宋体" w:eastAsia="宋体" w:cs="宋体"/>
          <w:sz w:val="24"/>
        </w:rPr>
      </w:pPr>
      <w:r>
        <w:rPr>
          <w:rFonts w:hint="eastAsia" w:ascii="宋体" w:hAnsi="宋体" w:eastAsia="宋体" w:cs="宋体"/>
          <w:sz w:val="24"/>
        </w:rPr>
        <w:t>监理人所做的批准或修改意见，不解除承包人对合同所负的责任。</w:t>
      </w:r>
    </w:p>
    <w:p w14:paraId="1E7DB1E8">
      <w:pPr>
        <w:spacing w:line="312" w:lineRule="auto"/>
        <w:rPr>
          <w:rFonts w:hint="eastAsia" w:ascii="宋体" w:hAnsi="宋体" w:eastAsia="宋体" w:cs="宋体"/>
          <w:b/>
          <w:bCs/>
          <w:sz w:val="24"/>
        </w:rPr>
      </w:pPr>
      <w:r>
        <w:rPr>
          <w:rFonts w:hint="eastAsia" w:ascii="宋体" w:hAnsi="宋体" w:eastAsia="宋体" w:cs="宋体"/>
          <w:b/>
          <w:bCs/>
          <w:sz w:val="24"/>
        </w:rPr>
        <w:t>4.  承包人</w:t>
      </w:r>
    </w:p>
    <w:p w14:paraId="551524B8">
      <w:pPr>
        <w:spacing w:line="312" w:lineRule="auto"/>
        <w:rPr>
          <w:rFonts w:hint="eastAsia" w:ascii="宋体" w:hAnsi="宋体" w:eastAsia="宋体" w:cs="宋体"/>
          <w:b/>
          <w:bCs/>
          <w:sz w:val="24"/>
        </w:rPr>
      </w:pPr>
      <w:r>
        <w:rPr>
          <w:rFonts w:hint="eastAsia" w:ascii="宋体" w:hAnsi="宋体" w:eastAsia="宋体" w:cs="宋体"/>
          <w:b/>
          <w:bCs/>
          <w:sz w:val="24"/>
        </w:rPr>
        <w:t>4.1承包人的一般义务</w:t>
      </w:r>
    </w:p>
    <w:p w14:paraId="197EF9E3">
      <w:pPr>
        <w:spacing w:line="312" w:lineRule="auto"/>
        <w:rPr>
          <w:rFonts w:hint="eastAsia" w:ascii="宋体" w:hAnsi="宋体" w:eastAsia="宋体" w:cs="宋体"/>
          <w:sz w:val="24"/>
        </w:rPr>
      </w:pPr>
      <w:r>
        <w:rPr>
          <w:rFonts w:hint="eastAsia" w:ascii="宋体" w:hAnsi="宋体" w:eastAsia="宋体" w:cs="宋体"/>
          <w:sz w:val="24"/>
        </w:rPr>
        <w:t>4.1.10  其他义务：</w:t>
      </w:r>
    </w:p>
    <w:p w14:paraId="46427A7B">
      <w:pPr>
        <w:spacing w:line="312" w:lineRule="auto"/>
        <w:rPr>
          <w:rFonts w:hint="eastAsia" w:ascii="宋体" w:hAnsi="宋体" w:eastAsia="宋体" w:cs="宋体"/>
          <w:sz w:val="24"/>
        </w:rPr>
      </w:pPr>
      <w:r>
        <w:rPr>
          <w:rFonts w:hint="eastAsia" w:ascii="宋体" w:hAnsi="宋体" w:eastAsia="宋体" w:cs="宋体"/>
          <w:sz w:val="24"/>
        </w:rPr>
        <w:t>本项细化为：</w:t>
      </w:r>
    </w:p>
    <w:p w14:paraId="6346C12E">
      <w:pPr>
        <w:spacing w:line="312" w:lineRule="auto"/>
        <w:ind w:firstLine="480" w:firstLineChars="200"/>
        <w:rPr>
          <w:rFonts w:hint="eastAsia" w:ascii="宋体" w:hAnsi="宋体" w:eastAsia="宋体" w:cs="宋体"/>
          <w:sz w:val="24"/>
        </w:rPr>
      </w:pPr>
      <w:r>
        <w:rPr>
          <w:rFonts w:hint="eastAsia" w:ascii="宋体" w:hAnsi="宋体" w:eastAsia="宋体" w:cs="宋体"/>
          <w:sz w:val="24"/>
        </w:rPr>
        <w:t>（1）增加：承包人应及时支付聘（雇）用人员的劳务费用及农民工工资。为加强建设过程中工程款的兑付和及时拨付农民工工资，根据陕西省有关规定，项目执行机构从承包人每期正常支付中扣除5%相应款项作为农民工工资保证金。</w:t>
      </w:r>
    </w:p>
    <w:p w14:paraId="576A2AFE">
      <w:pPr>
        <w:spacing w:line="312" w:lineRule="auto"/>
        <w:rPr>
          <w:rFonts w:hint="eastAsia" w:ascii="宋体" w:hAnsi="宋体" w:eastAsia="宋体" w:cs="宋体"/>
          <w:sz w:val="24"/>
        </w:rPr>
      </w:pPr>
      <w:r>
        <w:rPr>
          <w:rFonts w:hint="eastAsia" w:ascii="宋体" w:hAnsi="宋体" w:eastAsia="宋体" w:cs="宋体"/>
          <w:sz w:val="24"/>
        </w:rPr>
        <w:t xml:space="preserve">    (2)当承包人在查阅合同文件或在本合同工程实施过程中，发现有关的工程设计、技术规范、图纸或其它资料中的任何差错、遗漏或缺陷后，应及时书面通知监理人。监理人接到该通知后，应立即就此做出决定，并通知承包人，抄送发包人。</w:t>
      </w:r>
    </w:p>
    <w:p w14:paraId="64F18246">
      <w:pPr>
        <w:spacing w:line="312" w:lineRule="auto"/>
        <w:ind w:firstLine="480" w:firstLineChars="200"/>
        <w:rPr>
          <w:rFonts w:hint="eastAsia" w:ascii="宋体" w:hAnsi="宋体" w:eastAsia="宋体" w:cs="宋体"/>
          <w:sz w:val="24"/>
        </w:rPr>
      </w:pPr>
      <w:r>
        <w:rPr>
          <w:rFonts w:hint="eastAsia" w:ascii="宋体" w:hAnsi="宋体" w:eastAsia="宋体" w:cs="宋体"/>
          <w:sz w:val="24"/>
        </w:rPr>
        <w:t>（3）发包人及其上级有关单位对项目审计，涉及到本合同段时，承包人应积极配合，不得拒绝、隐藏和提供虚假资料，不得阻挠审计。对审计的结果和决定应予以执行。按照规定，本项目竣工决算审计没有完成，不结清尾留工程款。</w:t>
      </w:r>
    </w:p>
    <w:p w14:paraId="77507689">
      <w:pPr>
        <w:spacing w:line="312" w:lineRule="auto"/>
        <w:rPr>
          <w:rFonts w:hint="eastAsia" w:ascii="宋体" w:hAnsi="宋体" w:eastAsia="宋体" w:cs="宋体"/>
          <w:sz w:val="24"/>
        </w:rPr>
      </w:pPr>
      <w:r>
        <w:rPr>
          <w:rFonts w:hint="eastAsia" w:ascii="宋体" w:hAnsi="宋体" w:eastAsia="宋体" w:cs="宋体"/>
          <w:sz w:val="24"/>
        </w:rPr>
        <w:t>（4）承包人及监理在施工过程中，对于发现的设计与实际不符、方案不合理的问题，应及时向项目法人提出优化完善的意见和建议。如因未及时发现和提出而继续施工造成质量问题，要承担相应责任。</w:t>
      </w:r>
    </w:p>
    <w:p w14:paraId="5AC60977">
      <w:pPr>
        <w:spacing w:line="312" w:lineRule="auto"/>
        <w:ind w:firstLine="480" w:firstLineChars="200"/>
        <w:rPr>
          <w:rFonts w:hint="eastAsia" w:ascii="宋体" w:hAnsi="宋体" w:eastAsia="宋体" w:cs="宋体"/>
          <w:sz w:val="24"/>
        </w:rPr>
      </w:pPr>
      <w:r>
        <w:rPr>
          <w:rFonts w:hint="eastAsia" w:ascii="宋体" w:hAnsi="宋体" w:eastAsia="宋体" w:cs="宋体"/>
          <w:sz w:val="24"/>
        </w:rPr>
        <w:t>（5）承包人应尊重项目所在地的乡规民俗，处理好与地方政府、人民群众的关系，积极处理与建设环境有关的纠纷，与发包人共同维护和保障建设施工环境。如出现承包人自身原因引起的建设环境问题，应视为承包人违约，按22.1.2项向承包人处以违约罚金。</w:t>
      </w:r>
    </w:p>
    <w:p w14:paraId="362BD9C8">
      <w:pPr>
        <w:spacing w:line="312" w:lineRule="auto"/>
        <w:rPr>
          <w:rFonts w:hint="eastAsia" w:ascii="宋体" w:hAnsi="宋体" w:eastAsia="宋体" w:cs="宋体"/>
          <w:b/>
          <w:bCs/>
          <w:sz w:val="24"/>
        </w:rPr>
      </w:pPr>
      <w:r>
        <w:rPr>
          <w:rFonts w:hint="eastAsia" w:ascii="宋体" w:hAnsi="宋体" w:eastAsia="宋体" w:cs="宋体"/>
          <w:b/>
          <w:bCs/>
          <w:sz w:val="24"/>
        </w:rPr>
        <w:t>5. 材料和工程设备</w:t>
      </w:r>
    </w:p>
    <w:p w14:paraId="4EB214DE">
      <w:pPr>
        <w:spacing w:line="312" w:lineRule="auto"/>
        <w:rPr>
          <w:rFonts w:hint="eastAsia" w:ascii="宋体" w:hAnsi="宋体" w:eastAsia="宋体" w:cs="宋体"/>
          <w:b/>
          <w:bCs/>
          <w:sz w:val="24"/>
        </w:rPr>
      </w:pPr>
      <w:r>
        <w:rPr>
          <w:rFonts w:hint="eastAsia" w:ascii="宋体" w:hAnsi="宋体" w:eastAsia="宋体" w:cs="宋体"/>
          <w:b/>
          <w:bCs/>
          <w:sz w:val="24"/>
        </w:rPr>
        <w:t>5.1承包人提供的材料和工程设备</w:t>
      </w:r>
    </w:p>
    <w:p w14:paraId="01FF47C9">
      <w:pPr>
        <w:spacing w:line="312" w:lineRule="auto"/>
        <w:ind w:firstLine="480" w:firstLineChars="200"/>
        <w:rPr>
          <w:rFonts w:hint="eastAsia" w:ascii="宋体" w:hAnsi="宋体" w:eastAsia="宋体" w:cs="宋体"/>
          <w:sz w:val="24"/>
        </w:rPr>
      </w:pPr>
      <w:r>
        <w:rPr>
          <w:rFonts w:hint="eastAsia" w:ascii="宋体" w:hAnsi="宋体" w:eastAsia="宋体" w:cs="宋体"/>
          <w:sz w:val="24"/>
        </w:rPr>
        <w:t>第5.1.1项补充：</w:t>
      </w:r>
    </w:p>
    <w:p w14:paraId="2841975A">
      <w:pPr>
        <w:spacing w:line="312" w:lineRule="auto"/>
        <w:ind w:firstLine="480" w:firstLineChars="200"/>
        <w:rPr>
          <w:rFonts w:hint="eastAsia" w:ascii="宋体" w:hAnsi="宋体" w:eastAsia="宋体" w:cs="宋体"/>
          <w:sz w:val="24"/>
        </w:rPr>
      </w:pPr>
      <w:r>
        <w:rPr>
          <w:rFonts w:hint="eastAsia" w:ascii="宋体" w:hAnsi="宋体" w:eastAsia="宋体" w:cs="宋体"/>
          <w:sz w:val="24"/>
        </w:rPr>
        <w:t>为规范工程材料的管理，加强对原材料质量的控制，发包人将对主要工程材料实行准入制度。</w:t>
      </w:r>
    </w:p>
    <w:p w14:paraId="3CF20DDD">
      <w:pPr>
        <w:spacing w:line="312" w:lineRule="auto"/>
        <w:ind w:firstLine="480" w:firstLineChars="200"/>
        <w:rPr>
          <w:rFonts w:hint="eastAsia" w:ascii="宋体" w:hAnsi="宋体" w:eastAsia="宋体" w:cs="宋体"/>
          <w:sz w:val="24"/>
        </w:rPr>
      </w:pPr>
      <w:r>
        <w:rPr>
          <w:rFonts w:hint="eastAsia" w:ascii="宋体" w:hAnsi="宋体" w:eastAsia="宋体" w:cs="宋体"/>
          <w:sz w:val="24"/>
        </w:rPr>
        <w:t>第5.1.4项补充：</w:t>
      </w:r>
    </w:p>
    <w:p w14:paraId="5B164A74">
      <w:pPr>
        <w:spacing w:line="312" w:lineRule="auto"/>
        <w:ind w:firstLine="480" w:firstLineChars="200"/>
        <w:rPr>
          <w:rFonts w:hint="eastAsia" w:ascii="宋体" w:hAnsi="宋体" w:eastAsia="宋体" w:cs="宋体"/>
          <w:sz w:val="24"/>
        </w:rPr>
      </w:pPr>
      <w:r>
        <w:rPr>
          <w:rFonts w:hint="eastAsia" w:ascii="宋体" w:hAnsi="宋体" w:eastAsia="宋体" w:cs="宋体"/>
          <w:sz w:val="24"/>
        </w:rPr>
        <w:t>招标文件（含图纸部分）及施工图文件中所指示的材料料场，仅为投标人提供参照，投标人在投标中标进场后，应自行对材料料场进行调查按合同文件有关要求确定料源地。投标报价时应参考投标人调查的实际情况。招标人提供的料场信息仅供投标人参考，招标人对此不承担任何责任。</w:t>
      </w:r>
    </w:p>
    <w:p w14:paraId="0C32945D">
      <w:pPr>
        <w:spacing w:line="312" w:lineRule="auto"/>
        <w:rPr>
          <w:rFonts w:hint="eastAsia" w:ascii="宋体" w:hAnsi="宋体" w:eastAsia="宋体" w:cs="宋体"/>
          <w:b/>
          <w:bCs/>
          <w:sz w:val="24"/>
        </w:rPr>
      </w:pPr>
      <w:r>
        <w:rPr>
          <w:rFonts w:hint="eastAsia" w:ascii="宋体" w:hAnsi="宋体" w:eastAsia="宋体" w:cs="宋体"/>
          <w:b/>
          <w:bCs/>
          <w:sz w:val="24"/>
        </w:rPr>
        <w:t>7.交通运输</w:t>
      </w:r>
    </w:p>
    <w:p w14:paraId="6C41C008">
      <w:pPr>
        <w:spacing w:line="312" w:lineRule="auto"/>
        <w:rPr>
          <w:rFonts w:hint="eastAsia" w:ascii="宋体" w:hAnsi="宋体" w:eastAsia="宋体" w:cs="宋体"/>
          <w:b/>
          <w:bCs/>
          <w:sz w:val="24"/>
        </w:rPr>
      </w:pPr>
      <w:r>
        <w:rPr>
          <w:rFonts w:hint="eastAsia" w:ascii="宋体" w:hAnsi="宋体" w:eastAsia="宋体" w:cs="宋体"/>
          <w:b/>
          <w:bCs/>
          <w:sz w:val="24"/>
        </w:rPr>
        <w:t>7.5道路和桥梁的损坏责任</w:t>
      </w:r>
    </w:p>
    <w:p w14:paraId="7032B60E">
      <w:pPr>
        <w:spacing w:line="312" w:lineRule="auto"/>
        <w:ind w:firstLine="480" w:firstLineChars="200"/>
        <w:rPr>
          <w:rFonts w:hint="eastAsia" w:ascii="宋体" w:hAnsi="宋体" w:eastAsia="宋体" w:cs="宋体"/>
          <w:sz w:val="24"/>
        </w:rPr>
      </w:pPr>
      <w:r>
        <w:rPr>
          <w:rFonts w:hint="eastAsia" w:ascii="宋体" w:hAnsi="宋体" w:eastAsia="宋体" w:cs="宋体"/>
          <w:sz w:val="24"/>
        </w:rPr>
        <w:t>修改为：在施工期间和缺陷责任期期间，因承包人运输造成施工场地内外道路及桥梁损坏的，由承包人承担修复损坏的全部费用以及由此可能引起的赔偿，将不再另行计费支付。</w:t>
      </w:r>
    </w:p>
    <w:p w14:paraId="3D16A857">
      <w:pPr>
        <w:spacing w:line="312" w:lineRule="auto"/>
        <w:rPr>
          <w:rFonts w:hint="eastAsia" w:ascii="宋体" w:hAnsi="宋体" w:eastAsia="宋体" w:cs="宋体"/>
          <w:b/>
          <w:bCs/>
          <w:sz w:val="24"/>
        </w:rPr>
      </w:pPr>
      <w:r>
        <w:rPr>
          <w:rFonts w:hint="eastAsia" w:ascii="宋体" w:hAnsi="宋体" w:eastAsia="宋体" w:cs="宋体"/>
          <w:b/>
          <w:bCs/>
          <w:sz w:val="24"/>
        </w:rPr>
        <w:t>9.施工安全、治安保卫和环境保护</w:t>
      </w:r>
    </w:p>
    <w:p w14:paraId="0AE96760">
      <w:pPr>
        <w:spacing w:line="312" w:lineRule="auto"/>
        <w:ind w:firstLine="480" w:firstLineChars="200"/>
        <w:rPr>
          <w:rFonts w:hint="eastAsia" w:ascii="宋体" w:hAnsi="宋体" w:eastAsia="宋体" w:cs="宋体"/>
          <w:sz w:val="24"/>
        </w:rPr>
      </w:pPr>
      <w:r>
        <w:rPr>
          <w:rFonts w:hint="eastAsia" w:ascii="宋体" w:hAnsi="宋体" w:eastAsia="宋体" w:cs="宋体"/>
          <w:sz w:val="24"/>
        </w:rPr>
        <w:t>第9.2.5修改为：</w:t>
      </w:r>
    </w:p>
    <w:p w14:paraId="4A42A24E">
      <w:pPr>
        <w:spacing w:line="312" w:lineRule="auto"/>
        <w:ind w:firstLine="480" w:firstLineChars="200"/>
        <w:rPr>
          <w:rFonts w:hint="eastAsia" w:ascii="宋体" w:hAnsi="宋体" w:eastAsia="宋体" w:cs="宋体"/>
          <w:sz w:val="24"/>
        </w:rPr>
      </w:pPr>
      <w:r>
        <w:rPr>
          <w:rFonts w:hint="eastAsia" w:ascii="宋体" w:hAnsi="宋体" w:eastAsia="宋体" w:cs="宋体"/>
          <w:sz w:val="24"/>
          <w:highlight w:val="none"/>
        </w:rPr>
        <w:t>安全生产费用为投标价(工程量清单第200章—第700章合计总额)的1.5％。</w:t>
      </w:r>
      <w:r>
        <w:rPr>
          <w:rFonts w:hint="eastAsia" w:ascii="宋体" w:hAnsi="宋体" w:eastAsia="宋体" w:cs="宋体"/>
          <w:sz w:val="24"/>
        </w:rPr>
        <w:t>安全生产费用应用于施工安全防护用具及设施的采购和更新、安全施工措施的落实、安全生产条件的改善，不得挪作他用。如承包人在此基础上增加安全生产费用以满足项目施工需要，则承包人应在本项目工程量清单其他相关子目的单价或总额价中予以考虑，发包人不再另行支付。因采取合同未约定的特殊防护措施增加的费用，由监理人按第3.5款商定或确定。</w:t>
      </w:r>
    </w:p>
    <w:p w14:paraId="55ABF388">
      <w:pPr>
        <w:spacing w:line="312" w:lineRule="auto"/>
        <w:ind w:firstLine="480" w:firstLineChars="200"/>
        <w:rPr>
          <w:rFonts w:hint="eastAsia" w:ascii="宋体" w:hAnsi="宋体" w:eastAsia="宋体" w:cs="宋体"/>
          <w:sz w:val="24"/>
        </w:rPr>
      </w:pPr>
      <w:r>
        <w:rPr>
          <w:rFonts w:hint="eastAsia" w:ascii="宋体" w:hAnsi="宋体" w:eastAsia="宋体" w:cs="宋体"/>
          <w:sz w:val="24"/>
        </w:rPr>
        <w:t>第9.2.12项补充：</w:t>
      </w:r>
    </w:p>
    <w:p w14:paraId="33D8F413">
      <w:pPr>
        <w:spacing w:line="312" w:lineRule="auto"/>
        <w:ind w:firstLine="480" w:firstLineChars="200"/>
        <w:rPr>
          <w:rFonts w:hint="eastAsia" w:ascii="宋体" w:hAnsi="宋体" w:eastAsia="宋体" w:cs="宋体"/>
          <w:sz w:val="24"/>
        </w:rPr>
      </w:pPr>
      <w:r>
        <w:rPr>
          <w:rFonts w:hint="eastAsia" w:ascii="宋体" w:hAnsi="宋体" w:eastAsia="宋体" w:cs="宋体"/>
          <w:sz w:val="24"/>
        </w:rPr>
        <w:t>承包人除履行合同通用条款规定外，应在签订合同时同时签订《安全生产合同》。</w:t>
      </w:r>
    </w:p>
    <w:p w14:paraId="517EAECC">
      <w:pPr>
        <w:spacing w:line="312" w:lineRule="auto"/>
        <w:rPr>
          <w:rFonts w:hint="eastAsia" w:ascii="宋体" w:hAnsi="宋体" w:eastAsia="宋体" w:cs="宋体"/>
          <w:b/>
          <w:bCs/>
          <w:sz w:val="24"/>
        </w:rPr>
      </w:pPr>
      <w:r>
        <w:rPr>
          <w:rFonts w:hint="eastAsia" w:ascii="宋体" w:hAnsi="宋体" w:eastAsia="宋体" w:cs="宋体"/>
          <w:b/>
          <w:bCs/>
          <w:sz w:val="24"/>
        </w:rPr>
        <w:t>10. 进度计划</w:t>
      </w:r>
    </w:p>
    <w:p w14:paraId="2F8FF05E">
      <w:pPr>
        <w:spacing w:line="312" w:lineRule="auto"/>
        <w:rPr>
          <w:rFonts w:hint="eastAsia" w:ascii="宋体" w:hAnsi="宋体" w:eastAsia="宋体" w:cs="宋体"/>
          <w:b/>
          <w:bCs/>
          <w:sz w:val="24"/>
        </w:rPr>
      </w:pPr>
      <w:r>
        <w:rPr>
          <w:rFonts w:hint="eastAsia" w:ascii="宋体" w:hAnsi="宋体" w:eastAsia="宋体" w:cs="宋体"/>
          <w:b/>
          <w:bCs/>
          <w:sz w:val="24"/>
        </w:rPr>
        <w:t>10.1合同进度计划</w:t>
      </w:r>
    </w:p>
    <w:p w14:paraId="31CED0E5">
      <w:pPr>
        <w:spacing w:line="312" w:lineRule="auto"/>
        <w:ind w:firstLine="480" w:firstLineChars="200"/>
        <w:rPr>
          <w:rFonts w:hint="eastAsia" w:ascii="宋体" w:hAnsi="宋体" w:eastAsia="宋体" w:cs="宋体"/>
          <w:sz w:val="24"/>
        </w:rPr>
      </w:pPr>
      <w:r>
        <w:rPr>
          <w:rFonts w:hint="eastAsia" w:ascii="宋体" w:hAnsi="宋体" w:eastAsia="宋体" w:cs="宋体"/>
          <w:sz w:val="24"/>
        </w:rPr>
        <w:t>本款补充：</w:t>
      </w:r>
    </w:p>
    <w:p w14:paraId="12FCE8C9">
      <w:pPr>
        <w:spacing w:line="312" w:lineRule="auto"/>
        <w:ind w:firstLine="480" w:firstLineChars="200"/>
        <w:rPr>
          <w:rFonts w:hint="eastAsia" w:ascii="宋体" w:hAnsi="宋体" w:eastAsia="宋体" w:cs="宋体"/>
          <w:sz w:val="24"/>
        </w:rPr>
      </w:pPr>
      <w:r>
        <w:rPr>
          <w:rFonts w:hint="eastAsia" w:ascii="宋体" w:hAnsi="宋体" w:eastAsia="宋体" w:cs="宋体"/>
          <w:sz w:val="24"/>
        </w:rPr>
        <w:t>承包人应在签订合同协议书后 28 天内，向监理人提交2份其格式和内容符合监理人规定的工程进度计划，以及为完成该计划而建议采用的实施性的施工安排和施工方案的说明。监理人应在收到该计划后的 14 天内审查同意并提出修改意见上报发包人批复。工程进度计划应按照关键线路网络图和主要工作横道图两种形式分别编绘，并应包括每月预计完成的工作量和形象进度。</w:t>
      </w:r>
    </w:p>
    <w:p w14:paraId="62F10CA6">
      <w:pPr>
        <w:spacing w:line="312" w:lineRule="auto"/>
        <w:rPr>
          <w:rFonts w:hint="eastAsia" w:ascii="宋体" w:hAnsi="宋体" w:eastAsia="宋体" w:cs="宋体"/>
          <w:b/>
          <w:bCs/>
          <w:sz w:val="24"/>
        </w:rPr>
      </w:pPr>
      <w:r>
        <w:rPr>
          <w:rFonts w:hint="eastAsia" w:ascii="宋体" w:hAnsi="宋体" w:eastAsia="宋体" w:cs="宋体"/>
          <w:b/>
          <w:bCs/>
          <w:sz w:val="24"/>
        </w:rPr>
        <w:t>13. 工程质量</w:t>
      </w:r>
    </w:p>
    <w:p w14:paraId="619828B1">
      <w:pPr>
        <w:spacing w:line="312" w:lineRule="auto"/>
        <w:rPr>
          <w:rFonts w:hint="eastAsia" w:ascii="宋体" w:hAnsi="宋体" w:eastAsia="宋体" w:cs="宋体"/>
          <w:b/>
          <w:bCs/>
          <w:sz w:val="24"/>
        </w:rPr>
      </w:pPr>
      <w:r>
        <w:rPr>
          <w:rFonts w:hint="eastAsia" w:ascii="宋体" w:hAnsi="宋体" w:eastAsia="宋体" w:cs="宋体"/>
          <w:b/>
          <w:bCs/>
          <w:sz w:val="24"/>
        </w:rPr>
        <w:t>13.2承包人的质量管理</w:t>
      </w:r>
    </w:p>
    <w:p w14:paraId="5983594B">
      <w:pPr>
        <w:spacing w:line="312" w:lineRule="auto"/>
        <w:ind w:firstLine="480" w:firstLineChars="200"/>
        <w:rPr>
          <w:rFonts w:hint="eastAsia" w:ascii="宋体" w:hAnsi="宋体" w:eastAsia="宋体" w:cs="宋体"/>
          <w:sz w:val="24"/>
        </w:rPr>
      </w:pPr>
      <w:r>
        <w:rPr>
          <w:rFonts w:hint="eastAsia" w:ascii="宋体" w:hAnsi="宋体" w:eastAsia="宋体" w:cs="宋体"/>
          <w:sz w:val="24"/>
        </w:rPr>
        <w:t>本款第13.2.7、13.2.8项补充：</w:t>
      </w:r>
    </w:p>
    <w:p w14:paraId="4F30F2D1">
      <w:pPr>
        <w:spacing w:line="312" w:lineRule="auto"/>
        <w:ind w:firstLine="480" w:firstLineChars="200"/>
        <w:rPr>
          <w:rFonts w:hint="eastAsia" w:ascii="宋体" w:hAnsi="宋体" w:eastAsia="宋体" w:cs="宋体"/>
          <w:sz w:val="24"/>
        </w:rPr>
      </w:pPr>
      <w:r>
        <w:rPr>
          <w:rFonts w:hint="eastAsia" w:ascii="宋体" w:hAnsi="宋体" w:eastAsia="宋体" w:cs="宋体"/>
          <w:sz w:val="24"/>
        </w:rPr>
        <w:t>13.2.7 对现场施工人员加强质量教育，强化质量意识，开工前必须进行技术交底和业务培训，将技术交底和培训作为施工的第一道工序，每一项工程开工前必须对劳务人员、技术员进行培训并进行应知应会教育，严格执行规范，严格操作规程，分项工程开工前必须按合同要求执行先试验再辅开的程序，开工前必须按技术规范规定向监理人报送试验报告(包括施工方案、施工方法、施工准备、质保措施等)经监理人审核批准后方能铺开施工。</w:t>
      </w:r>
    </w:p>
    <w:p w14:paraId="356C4EB9">
      <w:pPr>
        <w:spacing w:line="312" w:lineRule="auto"/>
        <w:ind w:firstLine="480" w:firstLineChars="200"/>
        <w:rPr>
          <w:rFonts w:hint="eastAsia" w:ascii="宋体" w:hAnsi="宋体" w:eastAsia="宋体" w:cs="宋体"/>
          <w:sz w:val="24"/>
        </w:rPr>
      </w:pPr>
      <w:r>
        <w:rPr>
          <w:rFonts w:hint="eastAsia" w:ascii="宋体" w:hAnsi="宋体" w:eastAsia="宋体" w:cs="宋体"/>
          <w:sz w:val="24"/>
        </w:rPr>
        <w:t>13.2.8工地试验室建设应满足《公路水运工程试验检测管理办法》（交通部令2005年12号）和省上相关规定，试验室应严格遵循独立、客观、及时、准确的工作原则，按照现行的国家或行业标准、规范和规程开展工地试验检测工作，为工程建设提供真实、准确的试验检测数据和报告，须经市级或以上交通质监部门验收合格。</w:t>
      </w:r>
    </w:p>
    <w:p w14:paraId="5451BC9B">
      <w:pPr>
        <w:spacing w:line="312" w:lineRule="auto"/>
        <w:ind w:firstLine="480" w:firstLineChars="200"/>
        <w:rPr>
          <w:rFonts w:hint="eastAsia" w:ascii="宋体" w:hAnsi="宋体" w:eastAsia="宋体" w:cs="宋体"/>
          <w:sz w:val="24"/>
        </w:rPr>
      </w:pPr>
      <w:r>
        <w:rPr>
          <w:rFonts w:hint="eastAsia" w:ascii="宋体" w:hAnsi="宋体" w:eastAsia="宋体" w:cs="宋体"/>
          <w:sz w:val="24"/>
        </w:rPr>
        <w:t>21.1不可抗力的确认</w:t>
      </w:r>
    </w:p>
    <w:p w14:paraId="5714C9F6">
      <w:pPr>
        <w:spacing w:line="312" w:lineRule="auto"/>
        <w:rPr>
          <w:rFonts w:hint="eastAsia" w:ascii="宋体" w:hAnsi="宋体" w:eastAsia="宋体" w:cs="宋体"/>
          <w:sz w:val="24"/>
        </w:rPr>
      </w:pPr>
      <w:r>
        <w:rPr>
          <w:rFonts w:hint="eastAsia" w:ascii="宋体" w:hAnsi="宋体" w:eastAsia="宋体" w:cs="宋体"/>
          <w:sz w:val="24"/>
        </w:rPr>
        <w:t xml:space="preserve">    2 1.1.1 (6)不可抗力的其他情形：</w:t>
      </w:r>
      <w:r>
        <w:rPr>
          <w:rFonts w:hint="eastAsia" w:ascii="宋体" w:hAnsi="宋体" w:eastAsia="宋体" w:cs="宋体"/>
          <w:sz w:val="24"/>
          <w:u w:val="single"/>
        </w:rPr>
        <w:t xml:space="preserve">  /  </w:t>
      </w:r>
    </w:p>
    <w:p w14:paraId="395695E6">
      <w:pPr>
        <w:spacing w:line="312" w:lineRule="auto"/>
        <w:rPr>
          <w:rFonts w:hint="eastAsia" w:ascii="宋体" w:hAnsi="宋体" w:eastAsia="宋体" w:cs="宋体"/>
          <w:b/>
          <w:bCs/>
          <w:sz w:val="24"/>
        </w:rPr>
      </w:pPr>
      <w:r>
        <w:rPr>
          <w:rFonts w:hint="eastAsia" w:ascii="宋体" w:hAnsi="宋体" w:eastAsia="宋体" w:cs="宋体"/>
          <w:b/>
          <w:bCs/>
          <w:sz w:val="24"/>
        </w:rPr>
        <w:t>22.1承包人违约</w:t>
      </w:r>
    </w:p>
    <w:p w14:paraId="333B83F6">
      <w:pPr>
        <w:spacing w:line="312" w:lineRule="auto"/>
        <w:rPr>
          <w:rFonts w:hint="eastAsia" w:ascii="宋体" w:hAnsi="宋体" w:eastAsia="宋体" w:cs="宋体"/>
          <w:sz w:val="24"/>
        </w:rPr>
      </w:pPr>
      <w:r>
        <w:rPr>
          <w:rFonts w:hint="eastAsia" w:ascii="宋体" w:hAnsi="宋体" w:eastAsia="宋体" w:cs="宋体"/>
          <w:sz w:val="24"/>
        </w:rPr>
        <w:t>22.1.2对承包人违约的处理</w:t>
      </w:r>
    </w:p>
    <w:p w14:paraId="10689BBD">
      <w:pPr>
        <w:spacing w:line="312" w:lineRule="auto"/>
        <w:ind w:firstLine="480" w:firstLineChars="200"/>
        <w:rPr>
          <w:rFonts w:hint="eastAsia" w:ascii="宋体" w:hAnsi="宋体" w:eastAsia="宋体" w:cs="宋体"/>
          <w:sz w:val="24"/>
        </w:rPr>
      </w:pPr>
      <w:r>
        <w:rPr>
          <w:rFonts w:hint="eastAsia" w:ascii="宋体" w:hAnsi="宋体" w:eastAsia="宋体" w:cs="宋体"/>
          <w:sz w:val="24"/>
        </w:rPr>
        <w:t>本款补充：</w:t>
      </w:r>
    </w:p>
    <w:p w14:paraId="5EBB4B8C">
      <w:pPr>
        <w:spacing w:line="312" w:lineRule="auto"/>
        <w:ind w:firstLine="480" w:firstLineChars="200"/>
        <w:rPr>
          <w:rFonts w:hint="eastAsia" w:ascii="宋体" w:hAnsi="宋体" w:eastAsia="宋体" w:cs="宋体"/>
          <w:sz w:val="24"/>
        </w:rPr>
      </w:pPr>
      <w:r>
        <w:rPr>
          <w:rFonts w:hint="eastAsia" w:ascii="宋体" w:hAnsi="宋体" w:eastAsia="宋体" w:cs="宋体"/>
          <w:sz w:val="24"/>
        </w:rPr>
        <w:t>（5）发包人在向承包人发出书面通知的14天内未见纠正后，发包人将按以下规定向承包人处以违约金：承包人不按合同约定按时进场施工与试验检测设备，施工机械不依据合同承诺按时进场，发包人将根据对工程的影响程度，最高处以50万元违约金；主要试验检测设备不依据合同承诺按时到场，发包人将根据对工程的影响程度，最高处以30万元违约金。</w:t>
      </w:r>
    </w:p>
    <w:p w14:paraId="41383892">
      <w:pPr>
        <w:spacing w:line="312" w:lineRule="auto"/>
        <w:ind w:firstLine="480" w:firstLineChars="200"/>
        <w:rPr>
          <w:rFonts w:hint="eastAsia" w:ascii="宋体" w:hAnsi="宋体" w:eastAsia="宋体" w:cs="宋体"/>
          <w:sz w:val="24"/>
        </w:rPr>
      </w:pPr>
      <w:r>
        <w:rPr>
          <w:rFonts w:hint="eastAsia" w:ascii="宋体" w:hAnsi="宋体" w:eastAsia="宋体" w:cs="宋体"/>
          <w:sz w:val="24"/>
        </w:rPr>
        <w:t>（6）当承包人发生第22.1.1项约定的违约情况时，发包人有权向承包人处以违约金，具体约定如下：根据具体情况处以最高签约合同价的5%违约金。</w:t>
      </w:r>
    </w:p>
    <w:p w14:paraId="72933DD1">
      <w:pPr>
        <w:spacing w:line="312" w:lineRule="auto"/>
        <w:rPr>
          <w:rFonts w:hint="eastAsia" w:ascii="宋体" w:hAnsi="宋体" w:eastAsia="宋体" w:cs="宋体"/>
          <w:sz w:val="24"/>
        </w:rPr>
      </w:pPr>
      <w:r>
        <w:rPr>
          <w:rFonts w:hint="eastAsia" w:ascii="宋体" w:hAnsi="宋体" w:eastAsia="宋体" w:cs="宋体"/>
          <w:b/>
          <w:bCs/>
          <w:sz w:val="24"/>
        </w:rPr>
        <w:t>23. 索赔</w:t>
      </w:r>
    </w:p>
    <w:p w14:paraId="77068A01">
      <w:pPr>
        <w:spacing w:line="312" w:lineRule="auto"/>
        <w:rPr>
          <w:rFonts w:hint="eastAsia" w:ascii="宋体" w:hAnsi="宋体" w:eastAsia="宋体" w:cs="宋体"/>
          <w:b/>
          <w:bCs/>
          <w:sz w:val="24"/>
        </w:rPr>
      </w:pPr>
      <w:r>
        <w:rPr>
          <w:rFonts w:hint="eastAsia" w:ascii="宋体" w:hAnsi="宋体" w:eastAsia="宋体" w:cs="宋体"/>
          <w:b/>
          <w:bCs/>
          <w:sz w:val="24"/>
        </w:rPr>
        <w:t>23.1承包人索赔的提出</w:t>
      </w:r>
    </w:p>
    <w:p w14:paraId="5E54490C">
      <w:pPr>
        <w:spacing w:line="312" w:lineRule="auto"/>
        <w:ind w:firstLine="480" w:firstLineChars="200"/>
        <w:rPr>
          <w:rFonts w:hint="eastAsia" w:ascii="宋体" w:hAnsi="宋体" w:eastAsia="宋体" w:cs="宋体"/>
          <w:sz w:val="24"/>
        </w:rPr>
      </w:pPr>
      <w:r>
        <w:rPr>
          <w:rFonts w:hint="eastAsia" w:ascii="宋体" w:hAnsi="宋体" w:eastAsia="宋体" w:cs="宋体"/>
          <w:sz w:val="24"/>
        </w:rPr>
        <w:t>第（3）项细化为：</w:t>
      </w:r>
    </w:p>
    <w:p w14:paraId="7654401F">
      <w:pPr>
        <w:spacing w:line="312" w:lineRule="auto"/>
        <w:ind w:firstLine="480" w:firstLineChars="200"/>
        <w:rPr>
          <w:rFonts w:hint="eastAsia" w:ascii="宋体" w:hAnsi="宋体" w:eastAsia="宋体" w:cs="宋体"/>
          <w:sz w:val="24"/>
        </w:rPr>
      </w:pPr>
      <w:r>
        <w:rPr>
          <w:rFonts w:hint="eastAsia" w:ascii="宋体" w:hAnsi="宋体" w:eastAsia="宋体" w:cs="宋体"/>
          <w:sz w:val="24"/>
        </w:rPr>
        <w:t>索赔事件具有连续性影响的，承包人应每隔7天向监理人提交延续索赔的通知，说明连续影响的实际情况和记录，列出累计的追加付款金额和（或）工期延长天数。</w:t>
      </w:r>
    </w:p>
    <w:p w14:paraId="2CC363F8">
      <w:pPr>
        <w:spacing w:line="312" w:lineRule="auto"/>
        <w:rPr>
          <w:rFonts w:hint="eastAsia" w:ascii="宋体" w:hAnsi="宋体" w:eastAsia="宋体" w:cs="宋体"/>
          <w:b/>
          <w:bCs/>
          <w:sz w:val="24"/>
        </w:rPr>
      </w:pPr>
      <w:r>
        <w:rPr>
          <w:rFonts w:hint="eastAsia" w:ascii="宋体" w:hAnsi="宋体" w:eastAsia="宋体" w:cs="宋体"/>
          <w:b/>
          <w:bCs/>
          <w:sz w:val="24"/>
        </w:rPr>
        <w:t>23.2承包人索赔处理程序</w:t>
      </w:r>
    </w:p>
    <w:p w14:paraId="50437B1C">
      <w:pPr>
        <w:spacing w:line="312" w:lineRule="auto"/>
        <w:ind w:firstLine="480" w:firstLineChars="200"/>
        <w:rPr>
          <w:rFonts w:hint="eastAsia" w:ascii="宋体" w:hAnsi="宋体" w:eastAsia="宋体" w:cs="宋体"/>
          <w:sz w:val="24"/>
        </w:rPr>
      </w:pPr>
      <w:r>
        <w:rPr>
          <w:rFonts w:hint="eastAsia" w:ascii="宋体" w:hAnsi="宋体" w:eastAsia="宋体" w:cs="宋体"/>
          <w:sz w:val="24"/>
        </w:rPr>
        <w:t>本款补充：如果承包人未能按合同条款在规定的时间内发出要求延期的通知和报告情况并提交详细资料，则事后发包人和监理人可拒绝做出任何延期的决定。</w:t>
      </w:r>
    </w:p>
    <w:p w14:paraId="34E72D8B">
      <w:pPr>
        <w:spacing w:line="312" w:lineRule="auto"/>
        <w:rPr>
          <w:rFonts w:hint="eastAsia" w:ascii="宋体" w:hAnsi="宋体" w:eastAsia="宋体" w:cs="宋体"/>
          <w:sz w:val="24"/>
        </w:rPr>
      </w:pPr>
      <w:r>
        <w:rPr>
          <w:rFonts w:hint="eastAsia" w:ascii="宋体" w:hAnsi="宋体" w:eastAsia="宋体" w:cs="宋体"/>
          <w:b/>
          <w:bCs/>
          <w:sz w:val="24"/>
        </w:rPr>
        <w:t>24.1争议的解决方式</w:t>
      </w:r>
    </w:p>
    <w:p w14:paraId="74A67EC7">
      <w:pPr>
        <w:spacing w:line="312" w:lineRule="auto"/>
        <w:ind w:firstLine="480" w:firstLineChars="200"/>
        <w:rPr>
          <w:rFonts w:hint="eastAsia" w:ascii="宋体" w:hAnsi="宋体" w:eastAsia="宋体" w:cs="宋体"/>
          <w:sz w:val="24"/>
        </w:rPr>
      </w:pPr>
      <w:r>
        <w:rPr>
          <w:rFonts w:hint="eastAsia" w:ascii="宋体" w:hAnsi="宋体" w:eastAsia="宋体" w:cs="宋体"/>
          <w:sz w:val="24"/>
        </w:rPr>
        <w:t>发包人和承包人在履行合同中发生争议的，可以友好协商或提请争议评审组评审。友好协商不成，不愿提请争议评审或不接受评审组意见的，向招标人所在地仲裁委员会申请仲裁。</w:t>
      </w:r>
    </w:p>
    <w:p w14:paraId="1387B76F">
      <w:pPr>
        <w:spacing w:line="312" w:lineRule="auto"/>
        <w:rPr>
          <w:rFonts w:hint="eastAsia" w:ascii="宋体" w:hAnsi="宋体" w:eastAsia="宋体" w:cs="宋体"/>
          <w:sz w:val="24"/>
        </w:rPr>
      </w:pPr>
    </w:p>
    <w:p w14:paraId="6DBC6BCF">
      <w:pPr>
        <w:rPr>
          <w:rFonts w:hint="eastAsia" w:ascii="宋体" w:hAnsi="宋体" w:eastAsia="宋体" w:cs="宋体"/>
          <w:sz w:val="24"/>
        </w:rPr>
      </w:pPr>
    </w:p>
    <w:p w14:paraId="19D3053D">
      <w:pPr>
        <w:spacing w:line="400" w:lineRule="exact"/>
        <w:jc w:val="center"/>
        <w:outlineLvl w:val="9"/>
        <w:rPr>
          <w:rFonts w:hint="eastAsia" w:ascii="宋体" w:hAnsi="宋体" w:eastAsia="宋体" w:cs="宋体"/>
          <w:b/>
          <w:bCs/>
          <w:sz w:val="32"/>
          <w:szCs w:val="32"/>
        </w:rPr>
      </w:pPr>
      <w:bookmarkStart w:id="7" w:name="_Toc23701"/>
    </w:p>
    <w:p w14:paraId="102D70AE">
      <w:pPr>
        <w:spacing w:line="400" w:lineRule="exact"/>
        <w:jc w:val="center"/>
        <w:outlineLvl w:val="9"/>
        <w:rPr>
          <w:rFonts w:hint="eastAsia" w:ascii="宋体" w:hAnsi="宋体" w:eastAsia="宋体" w:cs="宋体"/>
          <w:b/>
          <w:bCs/>
          <w:sz w:val="32"/>
          <w:szCs w:val="32"/>
        </w:rPr>
      </w:pPr>
    </w:p>
    <w:p w14:paraId="0B7D2C89">
      <w:pPr>
        <w:spacing w:line="400" w:lineRule="exact"/>
        <w:jc w:val="center"/>
        <w:outlineLvl w:val="9"/>
        <w:rPr>
          <w:rFonts w:hint="eastAsia" w:ascii="宋体" w:hAnsi="宋体" w:eastAsia="宋体" w:cs="宋体"/>
          <w:b/>
          <w:bCs/>
          <w:sz w:val="32"/>
          <w:szCs w:val="32"/>
        </w:rPr>
      </w:pPr>
    </w:p>
    <w:p w14:paraId="02EC3421">
      <w:pPr>
        <w:spacing w:line="400" w:lineRule="exact"/>
        <w:jc w:val="center"/>
        <w:outlineLvl w:val="9"/>
        <w:rPr>
          <w:rFonts w:hint="eastAsia" w:ascii="宋体" w:hAnsi="宋体" w:eastAsia="宋体" w:cs="宋体"/>
          <w:b/>
          <w:bCs/>
          <w:sz w:val="32"/>
          <w:szCs w:val="32"/>
        </w:rPr>
      </w:pPr>
    </w:p>
    <w:p w14:paraId="074CEEB7">
      <w:pPr>
        <w:pStyle w:val="3"/>
        <w:rPr>
          <w:rFonts w:hint="eastAsia" w:ascii="宋体" w:hAnsi="宋体" w:eastAsia="宋体" w:cs="宋体"/>
        </w:rPr>
      </w:pPr>
    </w:p>
    <w:p w14:paraId="412CC5E1">
      <w:pPr>
        <w:spacing w:line="400" w:lineRule="exact"/>
        <w:jc w:val="center"/>
        <w:outlineLvl w:val="1"/>
        <w:rPr>
          <w:rFonts w:hint="eastAsia" w:ascii="宋体" w:hAnsi="宋体" w:eastAsia="宋体" w:cs="宋体"/>
          <w:b/>
          <w:bCs/>
          <w:sz w:val="28"/>
          <w:szCs w:val="28"/>
        </w:rPr>
        <w:sectPr>
          <w:pgSz w:w="11905" w:h="16838"/>
          <w:pgMar w:top="1440" w:right="1276" w:bottom="1440" w:left="1797" w:header="850" w:footer="992" w:gutter="0"/>
          <w:pgNumType w:fmt="decimal"/>
          <w:cols w:space="720" w:num="1"/>
          <w:rtlGutter w:val="0"/>
          <w:docGrid w:type="linesAndChars" w:linePitch="317" w:charSpace="0"/>
        </w:sectPr>
      </w:pPr>
      <w:bookmarkStart w:id="8" w:name="_Toc4400"/>
      <w:bookmarkStart w:id="9" w:name="_Toc3656"/>
    </w:p>
    <w:p w14:paraId="3A84AA8D">
      <w:pPr>
        <w:spacing w:line="400" w:lineRule="exact"/>
        <w:jc w:val="center"/>
        <w:outlineLvl w:val="1"/>
        <w:rPr>
          <w:rFonts w:hint="eastAsia" w:ascii="宋体" w:hAnsi="宋体" w:eastAsia="宋体" w:cs="宋体"/>
          <w:sz w:val="22"/>
          <w:szCs w:val="22"/>
        </w:rPr>
      </w:pPr>
      <w:r>
        <w:rPr>
          <w:rFonts w:hint="eastAsia" w:ascii="宋体" w:hAnsi="宋体" w:eastAsia="宋体" w:cs="宋体"/>
          <w:b/>
          <w:bCs/>
          <w:sz w:val="28"/>
          <w:szCs w:val="28"/>
        </w:rPr>
        <w:t>第三节　合同附件格式</w:t>
      </w:r>
      <w:bookmarkEnd w:id="7"/>
      <w:bookmarkEnd w:id="8"/>
      <w:bookmarkEnd w:id="9"/>
    </w:p>
    <w:p w14:paraId="3518F8F6">
      <w:pPr>
        <w:pStyle w:val="7"/>
        <w:rPr>
          <w:rFonts w:hint="eastAsia" w:ascii="宋体" w:hAnsi="宋体" w:eastAsia="宋体" w:cs="宋体"/>
          <w:szCs w:val="24"/>
        </w:rPr>
      </w:pPr>
      <w:bookmarkStart w:id="10" w:name="_Toc20203"/>
      <w:bookmarkStart w:id="11" w:name="_Toc152042547"/>
      <w:bookmarkStart w:id="12" w:name="_Toc152045768"/>
      <w:bookmarkStart w:id="13" w:name="_Toc41"/>
      <w:bookmarkStart w:id="14" w:name="_Toc29788"/>
      <w:bookmarkStart w:id="15" w:name="_Toc144974827"/>
      <w:bookmarkStart w:id="16" w:name="_Toc179632786"/>
      <w:r>
        <w:rPr>
          <w:rFonts w:hint="eastAsia" w:ascii="宋体" w:hAnsi="宋体" w:eastAsia="宋体" w:cs="宋体"/>
          <w:szCs w:val="24"/>
        </w:rPr>
        <w:t>附件一：合同协议书</w:t>
      </w:r>
      <w:bookmarkEnd w:id="10"/>
      <w:bookmarkEnd w:id="11"/>
      <w:bookmarkEnd w:id="12"/>
      <w:bookmarkEnd w:id="13"/>
      <w:bookmarkEnd w:id="14"/>
      <w:bookmarkEnd w:id="15"/>
      <w:bookmarkEnd w:id="16"/>
    </w:p>
    <w:p w14:paraId="24203126">
      <w:pPr>
        <w:spacing w:line="400" w:lineRule="exact"/>
        <w:rPr>
          <w:rFonts w:hint="eastAsia" w:ascii="宋体" w:hAnsi="宋体" w:eastAsia="宋体" w:cs="宋体"/>
          <w:sz w:val="24"/>
        </w:rPr>
      </w:pPr>
    </w:p>
    <w:p w14:paraId="51FAF2E9">
      <w:pPr>
        <w:spacing w:line="440" w:lineRule="exact"/>
        <w:ind w:firstLine="528" w:firstLineChars="220"/>
        <w:rPr>
          <w:rFonts w:hint="eastAsia" w:ascii="宋体" w:hAnsi="宋体" w:eastAsia="宋体" w:cs="宋体"/>
          <w:sz w:val="24"/>
        </w:rPr>
      </w:pPr>
      <w:r>
        <w:rPr>
          <w:rFonts w:hint="eastAsia" w:ascii="宋体" w:hAnsi="宋体" w:eastAsia="宋体" w:cs="宋体"/>
          <w:sz w:val="24"/>
          <w:u w:val="single"/>
        </w:rPr>
        <w:t xml:space="preserve">                         </w:t>
      </w:r>
      <w:r>
        <w:rPr>
          <w:rFonts w:hint="eastAsia" w:ascii="宋体" w:hAnsi="宋体" w:eastAsia="宋体" w:cs="宋体"/>
          <w:sz w:val="24"/>
        </w:rPr>
        <w:t>（发包人名称，以下简称“发包人”）为实施</w:t>
      </w:r>
      <w:r>
        <w:rPr>
          <w:rFonts w:hint="eastAsia" w:ascii="宋体" w:hAnsi="宋体" w:eastAsia="宋体" w:cs="宋体"/>
          <w:sz w:val="24"/>
          <w:u w:val="single"/>
        </w:rPr>
        <w:t xml:space="preserve">                        </w:t>
      </w:r>
      <w:r>
        <w:rPr>
          <w:rFonts w:hint="eastAsia" w:ascii="宋体" w:hAnsi="宋体" w:eastAsia="宋体" w:cs="宋体"/>
          <w:sz w:val="24"/>
        </w:rPr>
        <w:t>（项目名称），已接受</w:t>
      </w:r>
      <w:r>
        <w:rPr>
          <w:rFonts w:hint="eastAsia" w:ascii="宋体" w:hAnsi="宋体" w:eastAsia="宋体" w:cs="宋体"/>
          <w:sz w:val="24"/>
          <w:u w:val="single"/>
        </w:rPr>
        <w:t xml:space="preserve">        </w:t>
      </w:r>
      <w:r>
        <w:rPr>
          <w:rFonts w:hint="eastAsia" w:ascii="宋体" w:hAnsi="宋体" w:eastAsia="宋体" w:cs="宋体"/>
          <w:sz w:val="24"/>
        </w:rPr>
        <w:t>（承包人名称，以下简称“承包人”）对该项目</w:t>
      </w:r>
      <w:r>
        <w:rPr>
          <w:rFonts w:hint="eastAsia" w:ascii="宋体" w:hAnsi="宋体" w:eastAsia="宋体" w:cs="宋体"/>
          <w:sz w:val="24"/>
          <w:u w:val="single"/>
        </w:rPr>
        <w:t xml:space="preserve">     </w:t>
      </w:r>
      <w:r>
        <w:rPr>
          <w:rFonts w:hint="eastAsia" w:ascii="宋体" w:hAnsi="宋体" w:eastAsia="宋体" w:cs="宋体"/>
          <w:sz w:val="24"/>
        </w:rPr>
        <w:t>施工的投标。发包人和承包人共同达成如下协议。</w:t>
      </w:r>
    </w:p>
    <w:p w14:paraId="65945524">
      <w:pPr>
        <w:spacing w:line="440" w:lineRule="exact"/>
        <w:ind w:firstLine="480" w:firstLineChars="200"/>
        <w:rPr>
          <w:rFonts w:hint="eastAsia" w:ascii="宋体" w:hAnsi="宋体" w:eastAsia="宋体" w:cs="宋体"/>
          <w:sz w:val="24"/>
        </w:rPr>
      </w:pPr>
      <w:bookmarkStart w:id="17" w:name="_Toc152042548"/>
      <w:bookmarkStart w:id="18" w:name="_Toc144974828"/>
      <w:r>
        <w:rPr>
          <w:rFonts w:hint="eastAsia" w:ascii="宋体" w:hAnsi="宋体" w:eastAsia="宋体" w:cs="宋体"/>
          <w:sz w:val="24"/>
        </w:rPr>
        <w:t>1.</w:t>
      </w:r>
      <w:r>
        <w:rPr>
          <w:rFonts w:hint="eastAsia" w:ascii="宋体" w:hAnsi="宋体" w:eastAsia="宋体" w:cs="宋体"/>
          <w:sz w:val="24"/>
          <w:u w:val="single"/>
        </w:rPr>
        <w:t>　　</w:t>
      </w:r>
      <w:r>
        <w:rPr>
          <w:rFonts w:hint="eastAsia" w:ascii="宋体" w:hAnsi="宋体" w:eastAsia="宋体" w:cs="宋体"/>
          <w:sz w:val="24"/>
          <w:lang w:eastAsia="zh-CN"/>
        </w:rPr>
        <w:t>项目</w:t>
      </w:r>
      <w:r>
        <w:rPr>
          <w:rFonts w:hint="eastAsia" w:ascii="宋体" w:hAnsi="宋体" w:eastAsia="宋体" w:cs="宋体"/>
          <w:sz w:val="24"/>
        </w:rPr>
        <w:t>由K</w:t>
      </w:r>
      <w:r>
        <w:rPr>
          <w:rFonts w:hint="eastAsia" w:ascii="宋体" w:hAnsi="宋体" w:eastAsia="宋体" w:cs="宋体"/>
          <w:sz w:val="24"/>
          <w:u w:val="single"/>
        </w:rPr>
        <w:t>　　</w:t>
      </w:r>
      <w:r>
        <w:rPr>
          <w:rFonts w:hint="eastAsia" w:ascii="宋体" w:hAnsi="宋体" w:eastAsia="宋体" w:cs="宋体"/>
          <w:sz w:val="24"/>
        </w:rPr>
        <w:t>+</w:t>
      </w:r>
      <w:r>
        <w:rPr>
          <w:rFonts w:hint="eastAsia" w:ascii="宋体" w:hAnsi="宋体" w:eastAsia="宋体" w:cs="宋体"/>
          <w:sz w:val="24"/>
          <w:u w:val="single"/>
        </w:rPr>
        <w:t>　　</w:t>
      </w:r>
      <w:r>
        <w:rPr>
          <w:rFonts w:hint="eastAsia" w:ascii="宋体" w:hAnsi="宋体" w:eastAsia="宋体" w:cs="宋体"/>
          <w:sz w:val="24"/>
        </w:rPr>
        <w:t>至K</w:t>
      </w:r>
      <w:r>
        <w:rPr>
          <w:rFonts w:hint="eastAsia" w:ascii="宋体" w:hAnsi="宋体" w:eastAsia="宋体" w:cs="宋体"/>
          <w:sz w:val="24"/>
          <w:u w:val="single"/>
        </w:rPr>
        <w:t>　　</w:t>
      </w:r>
      <w:r>
        <w:rPr>
          <w:rFonts w:hint="eastAsia" w:ascii="宋体" w:hAnsi="宋体" w:eastAsia="宋体" w:cs="宋体"/>
          <w:sz w:val="24"/>
        </w:rPr>
        <w:t>+</w:t>
      </w:r>
      <w:r>
        <w:rPr>
          <w:rFonts w:hint="eastAsia" w:ascii="宋体" w:hAnsi="宋体" w:eastAsia="宋体" w:cs="宋体"/>
          <w:sz w:val="24"/>
          <w:u w:val="single"/>
        </w:rPr>
        <w:t>　　</w:t>
      </w:r>
      <w:r>
        <w:rPr>
          <w:rFonts w:hint="eastAsia" w:ascii="宋体" w:hAnsi="宋体" w:eastAsia="宋体" w:cs="宋体"/>
          <w:sz w:val="24"/>
        </w:rPr>
        <w:t>，长约</w:t>
      </w:r>
      <w:r>
        <w:rPr>
          <w:rFonts w:hint="eastAsia" w:ascii="宋体" w:hAnsi="宋体" w:eastAsia="宋体" w:cs="宋体"/>
          <w:sz w:val="24"/>
          <w:u w:val="single"/>
        </w:rPr>
        <w:t>　　</w:t>
      </w:r>
      <w:r>
        <w:rPr>
          <w:rFonts w:hint="eastAsia" w:ascii="宋体" w:hAnsi="宋体" w:eastAsia="宋体" w:cs="宋体"/>
          <w:sz w:val="24"/>
        </w:rPr>
        <w:t>km， 等级为</w:t>
      </w:r>
      <w:r>
        <w:rPr>
          <w:rFonts w:hint="eastAsia" w:ascii="宋体" w:hAnsi="宋体" w:eastAsia="宋体" w:cs="宋体"/>
          <w:sz w:val="24"/>
          <w:u w:val="single"/>
        </w:rPr>
        <w:t>　　</w:t>
      </w:r>
      <w:r>
        <w:rPr>
          <w:rFonts w:hint="eastAsia" w:ascii="宋体" w:hAnsi="宋体" w:eastAsia="宋体" w:cs="宋体"/>
          <w:sz w:val="24"/>
        </w:rPr>
        <w:t>，设计时速为</w:t>
      </w:r>
      <w:r>
        <w:rPr>
          <w:rFonts w:hint="eastAsia" w:ascii="宋体" w:hAnsi="宋体" w:eastAsia="宋体" w:cs="宋体"/>
          <w:sz w:val="24"/>
          <w:u w:val="single"/>
        </w:rPr>
        <w:t>　　</w:t>
      </w:r>
      <w:r>
        <w:rPr>
          <w:rFonts w:hint="eastAsia" w:ascii="宋体" w:hAnsi="宋体" w:eastAsia="宋体" w:cs="宋体"/>
          <w:sz w:val="24"/>
        </w:rPr>
        <w:t>，</w:t>
      </w:r>
      <w:r>
        <w:rPr>
          <w:rFonts w:hint="eastAsia" w:ascii="宋体" w:hAnsi="宋体" w:eastAsia="宋体" w:cs="宋体"/>
          <w:sz w:val="24"/>
          <w:u w:val="single"/>
        </w:rPr>
        <w:t>　　</w:t>
      </w:r>
      <w:r>
        <w:rPr>
          <w:rFonts w:hint="eastAsia" w:ascii="宋体" w:hAnsi="宋体" w:eastAsia="宋体" w:cs="宋体"/>
          <w:sz w:val="24"/>
        </w:rPr>
        <w:t>及其他构造物工程等。</w:t>
      </w:r>
    </w:p>
    <w:p w14:paraId="70CD1C3A">
      <w:pPr>
        <w:spacing w:line="440" w:lineRule="exact"/>
        <w:ind w:firstLine="528" w:firstLineChars="220"/>
        <w:rPr>
          <w:rFonts w:hint="eastAsia" w:ascii="宋体" w:hAnsi="宋体" w:eastAsia="宋体" w:cs="宋体"/>
          <w:sz w:val="24"/>
        </w:rPr>
      </w:pPr>
      <w:r>
        <w:rPr>
          <w:rFonts w:hint="eastAsia" w:ascii="宋体" w:hAnsi="宋体" w:eastAsia="宋体" w:cs="宋体"/>
          <w:sz w:val="24"/>
        </w:rPr>
        <w:t>2.下列</w:t>
      </w:r>
      <w:bookmarkEnd w:id="17"/>
      <w:bookmarkEnd w:id="18"/>
      <w:r>
        <w:rPr>
          <w:rFonts w:hint="eastAsia" w:ascii="宋体" w:hAnsi="宋体" w:eastAsia="宋体" w:cs="宋体"/>
          <w:sz w:val="24"/>
        </w:rPr>
        <w:t>文件应视为构成合同文件的组成部分：</w:t>
      </w:r>
    </w:p>
    <w:p w14:paraId="2C4C62BB">
      <w:pPr>
        <w:spacing w:line="440" w:lineRule="exact"/>
        <w:ind w:firstLine="360" w:firstLineChars="150"/>
        <w:rPr>
          <w:rFonts w:hint="eastAsia" w:ascii="宋体" w:hAnsi="宋体" w:eastAsia="宋体" w:cs="宋体"/>
          <w:sz w:val="24"/>
        </w:rPr>
      </w:pPr>
      <w:r>
        <w:rPr>
          <w:rFonts w:hint="eastAsia" w:ascii="宋体" w:hAnsi="宋体" w:eastAsia="宋体" w:cs="宋体"/>
          <w:sz w:val="24"/>
        </w:rPr>
        <w:t>（1）本协议书及各种合同附件（含评标期间和合同谈判过程中的澄清文件和补充资料）；</w:t>
      </w:r>
    </w:p>
    <w:p w14:paraId="48B617BB">
      <w:pPr>
        <w:spacing w:line="440" w:lineRule="exact"/>
        <w:ind w:firstLine="360" w:firstLineChars="150"/>
        <w:rPr>
          <w:rFonts w:hint="eastAsia" w:ascii="宋体" w:hAnsi="宋体" w:eastAsia="宋体" w:cs="宋体"/>
          <w:sz w:val="24"/>
        </w:rPr>
      </w:pPr>
      <w:r>
        <w:rPr>
          <w:rFonts w:hint="eastAsia" w:ascii="宋体" w:hAnsi="宋体" w:eastAsia="宋体" w:cs="宋体"/>
          <w:sz w:val="24"/>
        </w:rPr>
        <w:t>（2）中标通知书；</w:t>
      </w:r>
    </w:p>
    <w:p w14:paraId="361F2091">
      <w:pPr>
        <w:spacing w:line="440" w:lineRule="exact"/>
        <w:ind w:firstLine="360" w:firstLineChars="150"/>
        <w:rPr>
          <w:rFonts w:hint="eastAsia" w:ascii="宋体" w:hAnsi="宋体" w:eastAsia="宋体" w:cs="宋体"/>
          <w:sz w:val="24"/>
        </w:rPr>
      </w:pPr>
      <w:r>
        <w:rPr>
          <w:rFonts w:hint="eastAsia" w:ascii="宋体" w:hAnsi="宋体" w:eastAsia="宋体" w:cs="宋体"/>
          <w:sz w:val="24"/>
        </w:rPr>
        <w:t>（3）补遗书；</w:t>
      </w:r>
    </w:p>
    <w:p w14:paraId="68C1D98E">
      <w:pPr>
        <w:spacing w:line="440" w:lineRule="exact"/>
        <w:ind w:firstLine="360" w:firstLineChars="150"/>
        <w:rPr>
          <w:rFonts w:hint="eastAsia" w:ascii="宋体" w:hAnsi="宋体" w:eastAsia="宋体" w:cs="宋体"/>
          <w:sz w:val="24"/>
        </w:rPr>
      </w:pPr>
      <w:r>
        <w:rPr>
          <w:rFonts w:hint="eastAsia" w:ascii="宋体" w:hAnsi="宋体" w:eastAsia="宋体" w:cs="宋体"/>
          <w:sz w:val="24"/>
        </w:rPr>
        <w:t>（4）投标函及投标函附录；</w:t>
      </w:r>
    </w:p>
    <w:p w14:paraId="41F59E01">
      <w:pPr>
        <w:spacing w:line="440" w:lineRule="exact"/>
        <w:ind w:firstLine="360" w:firstLineChars="150"/>
        <w:rPr>
          <w:rFonts w:hint="eastAsia" w:ascii="宋体" w:hAnsi="宋体" w:eastAsia="宋体" w:cs="宋体"/>
          <w:sz w:val="24"/>
        </w:rPr>
      </w:pPr>
      <w:r>
        <w:rPr>
          <w:rFonts w:hint="eastAsia" w:ascii="宋体" w:hAnsi="宋体" w:eastAsia="宋体" w:cs="宋体"/>
          <w:sz w:val="24"/>
        </w:rPr>
        <w:t>（5）项目专用合同条款；</w:t>
      </w:r>
    </w:p>
    <w:p w14:paraId="56E5C1E9">
      <w:pPr>
        <w:spacing w:line="440" w:lineRule="exact"/>
        <w:ind w:firstLine="360" w:firstLineChars="150"/>
        <w:rPr>
          <w:rFonts w:hint="eastAsia" w:ascii="宋体" w:hAnsi="宋体" w:eastAsia="宋体" w:cs="宋体"/>
          <w:sz w:val="24"/>
        </w:rPr>
      </w:pPr>
      <w:r>
        <w:rPr>
          <w:rFonts w:hint="eastAsia" w:ascii="宋体" w:hAnsi="宋体" w:eastAsia="宋体" w:cs="宋体"/>
          <w:sz w:val="24"/>
        </w:rPr>
        <w:t>（6）公路工程专用合同条款；</w:t>
      </w:r>
    </w:p>
    <w:p w14:paraId="01F47EFF">
      <w:pPr>
        <w:spacing w:line="440" w:lineRule="exact"/>
        <w:ind w:firstLine="360" w:firstLineChars="150"/>
        <w:rPr>
          <w:rFonts w:hint="eastAsia" w:ascii="宋体" w:hAnsi="宋体" w:eastAsia="宋体" w:cs="宋体"/>
          <w:sz w:val="24"/>
        </w:rPr>
      </w:pPr>
      <w:r>
        <w:rPr>
          <w:rFonts w:hint="eastAsia" w:ascii="宋体" w:hAnsi="宋体" w:eastAsia="宋体" w:cs="宋体"/>
          <w:sz w:val="24"/>
        </w:rPr>
        <w:t>（7）通用合同条款；</w:t>
      </w:r>
    </w:p>
    <w:p w14:paraId="2C29B685">
      <w:pPr>
        <w:spacing w:line="440" w:lineRule="exact"/>
        <w:ind w:firstLine="360" w:firstLineChars="150"/>
        <w:rPr>
          <w:rFonts w:hint="eastAsia" w:ascii="宋体" w:hAnsi="宋体" w:eastAsia="宋体" w:cs="宋体"/>
          <w:sz w:val="24"/>
        </w:rPr>
      </w:pPr>
      <w:r>
        <w:rPr>
          <w:rFonts w:hint="eastAsia" w:ascii="宋体" w:hAnsi="宋体" w:eastAsia="宋体" w:cs="宋体"/>
          <w:sz w:val="24"/>
        </w:rPr>
        <w:t>（8）图纸；</w:t>
      </w:r>
    </w:p>
    <w:p w14:paraId="63148428">
      <w:pPr>
        <w:spacing w:line="440" w:lineRule="exact"/>
        <w:ind w:firstLine="360" w:firstLineChars="150"/>
        <w:rPr>
          <w:rFonts w:hint="eastAsia" w:ascii="宋体" w:hAnsi="宋体" w:eastAsia="宋体" w:cs="宋体"/>
          <w:sz w:val="24"/>
        </w:rPr>
      </w:pPr>
      <w:r>
        <w:rPr>
          <w:rFonts w:hint="eastAsia" w:ascii="宋体" w:hAnsi="宋体" w:eastAsia="宋体" w:cs="宋体"/>
          <w:sz w:val="24"/>
        </w:rPr>
        <w:t>（9）已标价工程量清单；</w:t>
      </w:r>
    </w:p>
    <w:p w14:paraId="131C50B3">
      <w:pPr>
        <w:spacing w:line="440" w:lineRule="exact"/>
        <w:ind w:firstLine="360" w:firstLineChars="150"/>
        <w:rPr>
          <w:rFonts w:hint="eastAsia" w:ascii="宋体" w:hAnsi="宋体" w:eastAsia="宋体" w:cs="宋体"/>
          <w:sz w:val="24"/>
        </w:rPr>
      </w:pPr>
      <w:r>
        <w:rPr>
          <w:rFonts w:hint="eastAsia" w:ascii="宋体" w:hAnsi="宋体" w:eastAsia="宋体" w:cs="宋体"/>
          <w:sz w:val="24"/>
        </w:rPr>
        <w:t>（10）承包人有关人员、设备投入的承诺及投标文件中的施工组织设计；</w:t>
      </w:r>
    </w:p>
    <w:p w14:paraId="338DF2F1">
      <w:pPr>
        <w:spacing w:line="440" w:lineRule="exact"/>
        <w:ind w:firstLine="360" w:firstLineChars="150"/>
        <w:rPr>
          <w:rFonts w:hint="eastAsia" w:ascii="宋体" w:hAnsi="宋体" w:eastAsia="宋体" w:cs="宋体"/>
          <w:sz w:val="24"/>
        </w:rPr>
      </w:pPr>
      <w:r>
        <w:rPr>
          <w:rFonts w:hint="eastAsia" w:ascii="宋体" w:hAnsi="宋体" w:eastAsia="宋体" w:cs="宋体"/>
          <w:sz w:val="24"/>
        </w:rPr>
        <w:t>（11）其他合同文件。</w:t>
      </w:r>
    </w:p>
    <w:p w14:paraId="0C58DDD9">
      <w:pPr>
        <w:spacing w:line="440" w:lineRule="exact"/>
        <w:ind w:firstLine="410" w:firstLineChars="171"/>
        <w:rPr>
          <w:rFonts w:hint="eastAsia" w:ascii="宋体" w:hAnsi="宋体" w:eastAsia="宋体" w:cs="宋体"/>
          <w:sz w:val="24"/>
        </w:rPr>
      </w:pPr>
      <w:bookmarkStart w:id="19" w:name="_Toc152042549"/>
      <w:bookmarkStart w:id="20" w:name="_Toc144974829"/>
      <w:r>
        <w:rPr>
          <w:rFonts w:hint="eastAsia" w:ascii="宋体" w:hAnsi="宋体" w:eastAsia="宋体" w:cs="宋体"/>
          <w:sz w:val="24"/>
        </w:rPr>
        <w:t xml:space="preserve">3. </w:t>
      </w:r>
      <w:bookmarkEnd w:id="19"/>
      <w:bookmarkEnd w:id="20"/>
      <w:r>
        <w:rPr>
          <w:rFonts w:hint="eastAsia" w:ascii="宋体" w:hAnsi="宋体" w:eastAsia="宋体" w:cs="宋体"/>
          <w:sz w:val="24"/>
        </w:rPr>
        <w:t>根据工程量清单所列的预计数量和单价或总额价计算的签约合同价：人民币（大写）</w:t>
      </w:r>
      <w:r>
        <w:rPr>
          <w:rFonts w:hint="eastAsia" w:ascii="宋体" w:hAnsi="宋体" w:eastAsia="宋体" w:cs="宋体"/>
          <w:sz w:val="24"/>
          <w:u w:val="single"/>
        </w:rPr>
        <w:t xml:space="preserve">           </w:t>
      </w:r>
      <w:r>
        <w:rPr>
          <w:rFonts w:hint="eastAsia" w:ascii="宋体" w:hAnsi="宋体" w:eastAsia="宋体" w:cs="宋体"/>
          <w:sz w:val="24"/>
        </w:rPr>
        <w:t>元（¥</w:t>
      </w:r>
      <w:r>
        <w:rPr>
          <w:rFonts w:hint="eastAsia" w:ascii="宋体" w:hAnsi="宋体" w:eastAsia="宋体" w:cs="宋体"/>
          <w:sz w:val="24"/>
          <w:u w:val="single"/>
        </w:rPr>
        <w:t xml:space="preserve">           </w:t>
      </w:r>
      <w:r>
        <w:rPr>
          <w:rFonts w:hint="eastAsia" w:ascii="宋体" w:hAnsi="宋体" w:eastAsia="宋体" w:cs="宋体"/>
          <w:sz w:val="24"/>
        </w:rPr>
        <w:t>元）。</w:t>
      </w:r>
    </w:p>
    <w:p w14:paraId="7F930D6F">
      <w:pPr>
        <w:spacing w:line="440" w:lineRule="exact"/>
        <w:ind w:firstLine="410" w:firstLineChars="171"/>
        <w:rPr>
          <w:rFonts w:hint="eastAsia" w:ascii="宋体" w:hAnsi="宋体" w:eastAsia="宋体" w:cs="宋体"/>
          <w:sz w:val="24"/>
        </w:rPr>
      </w:pPr>
      <w:r>
        <w:rPr>
          <w:rFonts w:hint="eastAsia" w:ascii="宋体" w:hAnsi="宋体" w:eastAsia="宋体" w:cs="宋体"/>
          <w:sz w:val="24"/>
        </w:rPr>
        <w:t>4.承包人项目经理：</w:t>
      </w:r>
      <w:r>
        <w:rPr>
          <w:rFonts w:hint="eastAsia" w:ascii="宋体" w:hAnsi="宋体" w:eastAsia="宋体" w:cs="宋体"/>
          <w:sz w:val="24"/>
          <w:u w:val="single"/>
        </w:rPr>
        <w:t xml:space="preserve">         </w:t>
      </w:r>
      <w:r>
        <w:rPr>
          <w:rFonts w:hint="eastAsia" w:ascii="宋体" w:hAnsi="宋体" w:eastAsia="宋体" w:cs="宋体"/>
          <w:sz w:val="24"/>
        </w:rPr>
        <w:t>；承包人项目总工：</w:t>
      </w:r>
      <w:r>
        <w:rPr>
          <w:rFonts w:hint="eastAsia" w:ascii="宋体" w:hAnsi="宋体" w:eastAsia="宋体" w:cs="宋体"/>
          <w:sz w:val="24"/>
          <w:u w:val="single"/>
        </w:rPr>
        <w:t xml:space="preserve">           </w:t>
      </w:r>
      <w:r>
        <w:rPr>
          <w:rFonts w:hint="eastAsia" w:ascii="宋体" w:hAnsi="宋体" w:eastAsia="宋体" w:cs="宋体"/>
          <w:sz w:val="24"/>
        </w:rPr>
        <w:t>。</w:t>
      </w:r>
    </w:p>
    <w:p w14:paraId="309266BC">
      <w:pPr>
        <w:spacing w:line="440" w:lineRule="exact"/>
        <w:ind w:firstLine="410" w:firstLineChars="171"/>
        <w:rPr>
          <w:rFonts w:hint="eastAsia" w:ascii="宋体" w:hAnsi="宋体" w:eastAsia="宋体" w:cs="宋体"/>
          <w:sz w:val="24"/>
        </w:rPr>
      </w:pPr>
      <w:r>
        <w:rPr>
          <w:rFonts w:hint="eastAsia" w:ascii="宋体" w:hAnsi="宋体" w:eastAsia="宋体" w:cs="宋体"/>
          <w:sz w:val="24"/>
        </w:rPr>
        <w:t>5. 工程质量符合公路工程技术标准以及公路施工相关规范，工程安全目标：合格。</w:t>
      </w:r>
    </w:p>
    <w:p w14:paraId="6586F657">
      <w:pPr>
        <w:spacing w:line="440" w:lineRule="exact"/>
        <w:ind w:firstLine="410" w:firstLineChars="171"/>
        <w:rPr>
          <w:rFonts w:hint="eastAsia" w:ascii="宋体" w:hAnsi="宋体" w:eastAsia="宋体" w:cs="宋体"/>
          <w:sz w:val="24"/>
        </w:rPr>
      </w:pPr>
      <w:r>
        <w:rPr>
          <w:rFonts w:hint="eastAsia" w:ascii="宋体" w:hAnsi="宋体" w:eastAsia="宋体" w:cs="宋体"/>
          <w:sz w:val="24"/>
        </w:rPr>
        <w:t>6.  承包人承诺按合同约定承担工程的实施、完成及缺陷修复。</w:t>
      </w:r>
    </w:p>
    <w:p w14:paraId="47B3DB0C">
      <w:pPr>
        <w:spacing w:line="440" w:lineRule="exact"/>
        <w:ind w:firstLine="410" w:firstLineChars="171"/>
        <w:rPr>
          <w:rFonts w:hint="eastAsia" w:ascii="宋体" w:hAnsi="宋体" w:eastAsia="宋体" w:cs="宋体"/>
          <w:sz w:val="24"/>
        </w:rPr>
      </w:pPr>
      <w:r>
        <w:rPr>
          <w:rFonts w:hint="eastAsia" w:ascii="宋体" w:hAnsi="宋体" w:eastAsia="宋体" w:cs="宋体"/>
          <w:sz w:val="24"/>
        </w:rPr>
        <w:t>7. 发包人承诺按合同约定的条件、时间和方式向承包人支付合同价款。</w:t>
      </w:r>
    </w:p>
    <w:p w14:paraId="0FAABC5B">
      <w:pPr>
        <w:spacing w:line="440" w:lineRule="exact"/>
        <w:ind w:firstLine="410" w:firstLineChars="171"/>
        <w:rPr>
          <w:rFonts w:hint="eastAsia" w:ascii="宋体" w:hAnsi="宋体" w:eastAsia="宋体" w:cs="宋体"/>
          <w:sz w:val="24"/>
        </w:rPr>
      </w:pPr>
      <w:r>
        <w:rPr>
          <w:rFonts w:hint="eastAsia" w:ascii="宋体" w:hAnsi="宋体" w:eastAsia="宋体" w:cs="宋体"/>
          <w:sz w:val="24"/>
        </w:rPr>
        <w:t>8. 承包人应按照监理人指示开工，工期为</w:t>
      </w:r>
      <w:r>
        <w:rPr>
          <w:rFonts w:hint="eastAsia" w:ascii="宋体" w:hAnsi="宋体" w:eastAsia="宋体" w:cs="宋体"/>
          <w:sz w:val="24"/>
          <w:u w:val="single"/>
        </w:rPr>
        <w:t xml:space="preserve">    </w:t>
      </w:r>
      <w:r>
        <w:rPr>
          <w:rFonts w:hint="eastAsia" w:ascii="宋体" w:hAnsi="宋体" w:eastAsia="宋体" w:cs="宋体"/>
          <w:sz w:val="24"/>
        </w:rPr>
        <w:t>日历天。</w:t>
      </w:r>
    </w:p>
    <w:p w14:paraId="648E271A">
      <w:pPr>
        <w:spacing w:line="440" w:lineRule="exact"/>
        <w:ind w:firstLine="410" w:firstLineChars="171"/>
        <w:rPr>
          <w:rFonts w:hint="eastAsia" w:ascii="宋体" w:hAnsi="宋体" w:eastAsia="宋体" w:cs="宋体"/>
          <w:sz w:val="24"/>
        </w:rPr>
      </w:pPr>
      <w:r>
        <w:rPr>
          <w:rFonts w:hint="eastAsia" w:ascii="宋体" w:hAnsi="宋体" w:eastAsia="宋体" w:cs="宋体"/>
          <w:sz w:val="24"/>
        </w:rPr>
        <w:t>9. 本协议书在承包人提供履约担保后，由双方法定代表人或其委托代理人签署并加盖单位章后生效。全部工程完工后经竣交工验收合格、缺陷责任期满签发缺陷责任终止证书后生效。</w:t>
      </w:r>
    </w:p>
    <w:p w14:paraId="28766933">
      <w:pPr>
        <w:spacing w:line="440" w:lineRule="exact"/>
        <w:ind w:firstLine="410" w:firstLineChars="171"/>
        <w:rPr>
          <w:rFonts w:hint="eastAsia" w:ascii="宋体" w:hAnsi="宋体" w:eastAsia="宋体" w:cs="宋体"/>
          <w:sz w:val="24"/>
        </w:rPr>
      </w:pPr>
      <w:bookmarkStart w:id="21" w:name="_Toc144974830"/>
      <w:bookmarkStart w:id="22" w:name="_Toc152042550"/>
      <w:r>
        <w:rPr>
          <w:rFonts w:hint="eastAsia" w:ascii="宋体" w:hAnsi="宋体" w:eastAsia="宋体" w:cs="宋体"/>
          <w:sz w:val="24"/>
        </w:rPr>
        <w:t>10、本协议书正本二份、副本</w:t>
      </w:r>
      <w:r>
        <w:rPr>
          <w:rFonts w:hint="eastAsia" w:ascii="宋体" w:hAnsi="宋体" w:eastAsia="宋体" w:cs="宋体"/>
          <w:sz w:val="24"/>
          <w:u w:val="single"/>
        </w:rPr>
        <w:t>　　</w:t>
      </w:r>
      <w:r>
        <w:rPr>
          <w:rFonts w:hint="eastAsia" w:ascii="宋体" w:hAnsi="宋体" w:eastAsia="宋体" w:cs="宋体"/>
          <w:sz w:val="24"/>
        </w:rPr>
        <w:t>份，合同双方各执正本一份，副本</w:t>
      </w:r>
      <w:r>
        <w:rPr>
          <w:rFonts w:hint="eastAsia" w:ascii="宋体" w:hAnsi="宋体" w:eastAsia="宋体" w:cs="宋体"/>
          <w:sz w:val="24"/>
          <w:u w:val="single"/>
        </w:rPr>
        <w:t>　　</w:t>
      </w:r>
      <w:r>
        <w:rPr>
          <w:rFonts w:hint="eastAsia" w:ascii="宋体" w:hAnsi="宋体" w:eastAsia="宋体" w:cs="宋体"/>
          <w:sz w:val="24"/>
        </w:rPr>
        <w:t>份，当正本与副本的内容不一致时，以正本为准。</w:t>
      </w:r>
    </w:p>
    <w:p w14:paraId="7209F64B">
      <w:pPr>
        <w:spacing w:line="440" w:lineRule="exact"/>
        <w:ind w:firstLine="410" w:firstLineChars="171"/>
        <w:rPr>
          <w:rFonts w:hint="eastAsia" w:ascii="宋体" w:hAnsi="宋体" w:eastAsia="宋体" w:cs="宋体"/>
          <w:sz w:val="24"/>
        </w:rPr>
      </w:pPr>
      <w:r>
        <w:rPr>
          <w:rFonts w:hint="eastAsia" w:ascii="宋体" w:hAnsi="宋体" w:eastAsia="宋体" w:cs="宋体"/>
          <w:sz w:val="24"/>
        </w:rPr>
        <w:t>11. 合同未尽事宜，双方另行签订补充协议。补充协议是合同的组成部分。</w:t>
      </w:r>
      <w:bookmarkEnd w:id="21"/>
      <w:bookmarkEnd w:id="22"/>
    </w:p>
    <w:p w14:paraId="538C8665">
      <w:pPr>
        <w:spacing w:line="440" w:lineRule="exact"/>
        <w:ind w:firstLine="410" w:firstLineChars="171"/>
        <w:rPr>
          <w:rFonts w:hint="eastAsia" w:ascii="宋体" w:hAnsi="宋体" w:eastAsia="宋体" w:cs="宋体"/>
          <w:sz w:val="24"/>
        </w:rPr>
      </w:pPr>
    </w:p>
    <w:p w14:paraId="7BF0E5AF">
      <w:pPr>
        <w:spacing w:line="440" w:lineRule="exact"/>
        <w:rPr>
          <w:rFonts w:hint="eastAsia" w:ascii="宋体" w:hAnsi="宋体" w:eastAsia="宋体" w:cs="宋体"/>
          <w:sz w:val="24"/>
        </w:rPr>
      </w:pPr>
      <w:r>
        <w:rPr>
          <w:rFonts w:hint="eastAsia" w:ascii="宋体" w:hAnsi="宋体" w:eastAsia="宋体" w:cs="宋体"/>
          <w:sz w:val="24"/>
        </w:rPr>
        <w:t>发包人：</w:t>
      </w:r>
      <w:r>
        <w:rPr>
          <w:rFonts w:hint="eastAsia" w:ascii="宋体" w:hAnsi="宋体" w:eastAsia="宋体" w:cs="宋体"/>
          <w:sz w:val="24"/>
          <w:u w:val="single"/>
        </w:rPr>
        <w:t xml:space="preserve">     　        </w:t>
      </w:r>
      <w:r>
        <w:rPr>
          <w:rFonts w:hint="eastAsia" w:ascii="宋体" w:hAnsi="宋体" w:eastAsia="宋体" w:cs="宋体"/>
          <w:sz w:val="24"/>
        </w:rPr>
        <w:t>（盖单位章）     承包人：</w:t>
      </w:r>
      <w:r>
        <w:rPr>
          <w:rFonts w:hint="eastAsia" w:ascii="宋体" w:hAnsi="宋体" w:eastAsia="宋体" w:cs="宋体"/>
          <w:sz w:val="24"/>
          <w:u w:val="single"/>
        </w:rPr>
        <w:t xml:space="preserve">            </w:t>
      </w:r>
      <w:r>
        <w:rPr>
          <w:rFonts w:hint="eastAsia" w:ascii="宋体" w:hAnsi="宋体" w:eastAsia="宋体" w:cs="宋体"/>
          <w:sz w:val="24"/>
        </w:rPr>
        <w:t>（盖单位章）</w:t>
      </w:r>
    </w:p>
    <w:p w14:paraId="06E1D0EE">
      <w:pPr>
        <w:spacing w:line="440" w:lineRule="exact"/>
        <w:rPr>
          <w:rFonts w:hint="eastAsia" w:ascii="宋体" w:hAnsi="宋体" w:eastAsia="宋体" w:cs="宋体"/>
          <w:sz w:val="24"/>
        </w:rPr>
      </w:pPr>
      <w:r>
        <w:rPr>
          <w:rFonts w:hint="eastAsia" w:ascii="宋体" w:hAnsi="宋体" w:eastAsia="宋体" w:cs="宋体"/>
          <w:sz w:val="24"/>
        </w:rPr>
        <w:t>法定代表人或其委托代理人：</w:t>
      </w:r>
      <w:r>
        <w:rPr>
          <w:rFonts w:hint="eastAsia" w:ascii="宋体" w:hAnsi="宋体" w:eastAsia="宋体" w:cs="宋体"/>
          <w:sz w:val="24"/>
          <w:u w:val="single"/>
        </w:rPr>
        <w:t xml:space="preserve">    </w:t>
      </w:r>
      <w:r>
        <w:rPr>
          <w:rFonts w:hint="eastAsia" w:ascii="宋体" w:hAnsi="宋体" w:eastAsia="宋体" w:cs="宋体"/>
          <w:sz w:val="24"/>
        </w:rPr>
        <w:t>（签字）  法定代表人或其委托代理人：</w:t>
      </w:r>
      <w:r>
        <w:rPr>
          <w:rFonts w:hint="eastAsia" w:ascii="宋体" w:hAnsi="宋体" w:eastAsia="宋体" w:cs="宋体"/>
          <w:sz w:val="24"/>
          <w:u w:val="single"/>
        </w:rPr>
        <w:t xml:space="preserve">    </w:t>
      </w:r>
      <w:r>
        <w:rPr>
          <w:rFonts w:hint="eastAsia" w:ascii="宋体" w:hAnsi="宋体" w:eastAsia="宋体" w:cs="宋体"/>
          <w:sz w:val="24"/>
        </w:rPr>
        <w:t>（签字）</w:t>
      </w:r>
    </w:p>
    <w:p w14:paraId="428B9C36">
      <w:pPr>
        <w:spacing w:line="440" w:lineRule="exact"/>
        <w:rPr>
          <w:rFonts w:hint="eastAsia" w:ascii="宋体" w:hAnsi="宋体" w:eastAsia="宋体" w:cs="宋体"/>
          <w:sz w:val="24"/>
        </w:rPr>
      </w:pP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 xml:space="preserve">月 </w:t>
      </w:r>
      <w:r>
        <w:rPr>
          <w:rFonts w:hint="eastAsia" w:ascii="宋体" w:hAnsi="宋体" w:eastAsia="宋体" w:cs="宋体"/>
          <w:sz w:val="24"/>
          <w:u w:val="single"/>
        </w:rPr>
        <w:t xml:space="preserve">     </w:t>
      </w:r>
      <w:r>
        <w:rPr>
          <w:rFonts w:hint="eastAsia" w:ascii="宋体" w:hAnsi="宋体" w:eastAsia="宋体" w:cs="宋体"/>
          <w:sz w:val="24"/>
        </w:rPr>
        <w:t xml:space="preserve">日         　　　　　 </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 xml:space="preserve">月 </w:t>
      </w:r>
      <w:r>
        <w:rPr>
          <w:rFonts w:hint="eastAsia" w:ascii="宋体" w:hAnsi="宋体" w:eastAsia="宋体" w:cs="宋体"/>
          <w:sz w:val="24"/>
          <w:u w:val="single"/>
        </w:rPr>
        <w:t xml:space="preserve">     </w:t>
      </w:r>
      <w:r>
        <w:rPr>
          <w:rFonts w:hint="eastAsia" w:ascii="宋体" w:hAnsi="宋体" w:eastAsia="宋体" w:cs="宋体"/>
          <w:sz w:val="24"/>
        </w:rPr>
        <w:t>日</w:t>
      </w:r>
    </w:p>
    <w:p w14:paraId="15F15454">
      <w:pPr>
        <w:spacing w:line="440" w:lineRule="exact"/>
        <w:rPr>
          <w:rFonts w:hint="eastAsia" w:ascii="宋体" w:hAnsi="宋体" w:eastAsia="宋体" w:cs="宋体"/>
          <w:sz w:val="24"/>
        </w:rPr>
      </w:pPr>
    </w:p>
    <w:p w14:paraId="78076845">
      <w:pPr>
        <w:spacing w:line="440" w:lineRule="exact"/>
        <w:rPr>
          <w:rFonts w:hint="eastAsia" w:ascii="宋体" w:hAnsi="宋体" w:eastAsia="宋体" w:cs="宋体"/>
          <w:sz w:val="24"/>
        </w:rPr>
      </w:pPr>
    </w:p>
    <w:p w14:paraId="530AD06E">
      <w:pPr>
        <w:spacing w:line="440" w:lineRule="exact"/>
        <w:rPr>
          <w:rFonts w:hint="eastAsia" w:ascii="宋体" w:hAnsi="宋体" w:eastAsia="宋体" w:cs="宋体"/>
          <w:sz w:val="24"/>
        </w:rPr>
      </w:pPr>
    </w:p>
    <w:p w14:paraId="111A7C70">
      <w:pPr>
        <w:spacing w:line="440" w:lineRule="exact"/>
        <w:rPr>
          <w:rFonts w:hint="eastAsia" w:ascii="宋体" w:hAnsi="宋体" w:eastAsia="宋体" w:cs="宋体"/>
          <w:sz w:val="24"/>
        </w:rPr>
      </w:pPr>
    </w:p>
    <w:p w14:paraId="6D116AD8">
      <w:pPr>
        <w:spacing w:line="440" w:lineRule="exact"/>
        <w:rPr>
          <w:rFonts w:hint="eastAsia" w:ascii="宋体" w:hAnsi="宋体" w:eastAsia="宋体" w:cs="宋体"/>
          <w:sz w:val="24"/>
        </w:rPr>
      </w:pPr>
    </w:p>
    <w:p w14:paraId="42C93C0B">
      <w:pPr>
        <w:spacing w:line="440" w:lineRule="exact"/>
        <w:rPr>
          <w:rFonts w:hint="eastAsia" w:ascii="宋体" w:hAnsi="宋体" w:eastAsia="宋体" w:cs="宋体"/>
          <w:sz w:val="24"/>
        </w:rPr>
      </w:pPr>
    </w:p>
    <w:p w14:paraId="17D1DF87">
      <w:pPr>
        <w:spacing w:line="440" w:lineRule="exact"/>
        <w:rPr>
          <w:rFonts w:hint="eastAsia" w:ascii="宋体" w:hAnsi="宋体" w:eastAsia="宋体" w:cs="宋体"/>
          <w:sz w:val="24"/>
        </w:rPr>
      </w:pPr>
    </w:p>
    <w:p w14:paraId="2A7A1192">
      <w:pPr>
        <w:spacing w:line="440" w:lineRule="exact"/>
        <w:rPr>
          <w:rFonts w:hint="eastAsia" w:ascii="宋体" w:hAnsi="宋体" w:eastAsia="宋体" w:cs="宋体"/>
          <w:sz w:val="24"/>
        </w:rPr>
      </w:pPr>
    </w:p>
    <w:p w14:paraId="71D73C40">
      <w:pPr>
        <w:spacing w:line="440" w:lineRule="exact"/>
        <w:rPr>
          <w:rFonts w:hint="eastAsia" w:ascii="宋体" w:hAnsi="宋体" w:eastAsia="宋体" w:cs="宋体"/>
          <w:sz w:val="24"/>
        </w:rPr>
      </w:pPr>
    </w:p>
    <w:p w14:paraId="4F6A0D02">
      <w:pPr>
        <w:spacing w:line="440" w:lineRule="exact"/>
        <w:rPr>
          <w:rFonts w:hint="eastAsia" w:ascii="宋体" w:hAnsi="宋体" w:eastAsia="宋体" w:cs="宋体"/>
          <w:sz w:val="24"/>
        </w:rPr>
      </w:pPr>
    </w:p>
    <w:p w14:paraId="07CB3819">
      <w:pPr>
        <w:spacing w:line="440" w:lineRule="exact"/>
        <w:rPr>
          <w:rFonts w:hint="eastAsia" w:ascii="宋体" w:hAnsi="宋体" w:eastAsia="宋体" w:cs="宋体"/>
          <w:sz w:val="24"/>
        </w:rPr>
      </w:pPr>
    </w:p>
    <w:p w14:paraId="35E4F13B">
      <w:pPr>
        <w:spacing w:line="440" w:lineRule="exact"/>
        <w:rPr>
          <w:rFonts w:hint="eastAsia" w:ascii="宋体" w:hAnsi="宋体" w:eastAsia="宋体" w:cs="宋体"/>
          <w:sz w:val="24"/>
        </w:rPr>
      </w:pPr>
      <w:bookmarkStart w:id="23" w:name="_Toc19336"/>
    </w:p>
    <w:p w14:paraId="3B45E28F">
      <w:pPr>
        <w:spacing w:line="440" w:lineRule="exact"/>
        <w:rPr>
          <w:rFonts w:hint="eastAsia" w:ascii="宋体" w:hAnsi="宋体" w:eastAsia="宋体" w:cs="宋体"/>
          <w:sz w:val="24"/>
        </w:rPr>
      </w:pPr>
    </w:p>
    <w:p w14:paraId="13431D3C">
      <w:pPr>
        <w:spacing w:line="440" w:lineRule="exact"/>
        <w:rPr>
          <w:rFonts w:hint="eastAsia" w:ascii="宋体" w:hAnsi="宋体" w:eastAsia="宋体" w:cs="宋体"/>
          <w:sz w:val="24"/>
        </w:rPr>
      </w:pPr>
    </w:p>
    <w:p w14:paraId="5852853E">
      <w:pPr>
        <w:spacing w:line="440" w:lineRule="exact"/>
        <w:rPr>
          <w:rFonts w:hint="eastAsia" w:ascii="宋体" w:hAnsi="宋体" w:eastAsia="宋体" w:cs="宋体"/>
          <w:sz w:val="24"/>
        </w:rPr>
      </w:pPr>
    </w:p>
    <w:p w14:paraId="3C1DB68A">
      <w:pPr>
        <w:spacing w:line="440" w:lineRule="exact"/>
        <w:rPr>
          <w:rFonts w:hint="eastAsia" w:ascii="宋体" w:hAnsi="宋体" w:eastAsia="宋体" w:cs="宋体"/>
          <w:sz w:val="24"/>
        </w:rPr>
      </w:pPr>
    </w:p>
    <w:p w14:paraId="72711767">
      <w:pPr>
        <w:spacing w:line="440" w:lineRule="exact"/>
        <w:rPr>
          <w:rFonts w:hint="eastAsia" w:ascii="宋体" w:hAnsi="宋体" w:eastAsia="宋体" w:cs="宋体"/>
          <w:sz w:val="24"/>
        </w:rPr>
      </w:pPr>
    </w:p>
    <w:p w14:paraId="2C3323F1">
      <w:pPr>
        <w:spacing w:line="440" w:lineRule="exact"/>
        <w:rPr>
          <w:rFonts w:hint="eastAsia" w:ascii="宋体" w:hAnsi="宋体" w:eastAsia="宋体" w:cs="宋体"/>
          <w:sz w:val="24"/>
        </w:rPr>
      </w:pPr>
    </w:p>
    <w:p w14:paraId="1908379D">
      <w:pPr>
        <w:spacing w:line="440" w:lineRule="exact"/>
        <w:rPr>
          <w:rFonts w:hint="eastAsia" w:ascii="宋体" w:hAnsi="宋体" w:eastAsia="宋体" w:cs="宋体"/>
          <w:sz w:val="24"/>
        </w:rPr>
      </w:pPr>
    </w:p>
    <w:p w14:paraId="35647E57">
      <w:pPr>
        <w:spacing w:line="440" w:lineRule="exact"/>
        <w:rPr>
          <w:rFonts w:hint="eastAsia" w:ascii="宋体" w:hAnsi="宋体" w:eastAsia="宋体" w:cs="宋体"/>
          <w:sz w:val="24"/>
        </w:rPr>
      </w:pPr>
    </w:p>
    <w:p w14:paraId="1686331F">
      <w:pPr>
        <w:spacing w:line="440" w:lineRule="exact"/>
        <w:rPr>
          <w:rFonts w:hint="eastAsia" w:ascii="宋体" w:hAnsi="宋体" w:eastAsia="宋体" w:cs="宋体"/>
          <w:sz w:val="24"/>
        </w:rPr>
      </w:pPr>
    </w:p>
    <w:p w14:paraId="68C8E45D">
      <w:pPr>
        <w:pStyle w:val="3"/>
        <w:rPr>
          <w:rFonts w:hint="eastAsia" w:ascii="宋体" w:hAnsi="宋体" w:eastAsia="宋体" w:cs="宋体"/>
        </w:rPr>
      </w:pPr>
    </w:p>
    <w:p w14:paraId="1D28DD81">
      <w:pPr>
        <w:rPr>
          <w:rFonts w:hint="eastAsia" w:ascii="宋体" w:hAnsi="宋体" w:eastAsia="宋体" w:cs="宋体"/>
        </w:rPr>
      </w:pPr>
    </w:p>
    <w:p w14:paraId="36EA0612">
      <w:pPr>
        <w:pStyle w:val="3"/>
        <w:rPr>
          <w:rFonts w:hint="eastAsia" w:ascii="宋体" w:hAnsi="宋体" w:eastAsia="宋体" w:cs="宋体"/>
        </w:rPr>
      </w:pPr>
    </w:p>
    <w:p w14:paraId="1AE84204">
      <w:pPr>
        <w:spacing w:line="440" w:lineRule="exact"/>
        <w:rPr>
          <w:rFonts w:hint="eastAsia" w:ascii="宋体" w:hAnsi="宋体" w:eastAsia="宋体" w:cs="宋体"/>
          <w:sz w:val="24"/>
        </w:rPr>
      </w:pPr>
      <w:r>
        <w:rPr>
          <w:rFonts w:hint="eastAsia" w:ascii="宋体" w:hAnsi="宋体" w:eastAsia="宋体" w:cs="宋体"/>
          <w:sz w:val="24"/>
        </w:rPr>
        <w:t>附件二　廉政合同</w:t>
      </w:r>
      <w:bookmarkEnd w:id="23"/>
    </w:p>
    <w:p w14:paraId="111C4900">
      <w:pPr>
        <w:spacing w:line="440" w:lineRule="exact"/>
        <w:jc w:val="center"/>
        <w:rPr>
          <w:rFonts w:hint="eastAsia" w:ascii="宋体" w:hAnsi="宋体" w:eastAsia="宋体" w:cs="宋体"/>
          <w:sz w:val="15"/>
          <w:szCs w:val="15"/>
        </w:rPr>
      </w:pPr>
      <w:r>
        <w:rPr>
          <w:rFonts w:hint="eastAsia" w:ascii="宋体" w:hAnsi="宋体" w:eastAsia="宋体" w:cs="宋体"/>
          <w:b/>
          <w:bCs/>
          <w:sz w:val="28"/>
          <w:szCs w:val="28"/>
        </w:rPr>
        <w:t>廉　政　合　同</w:t>
      </w:r>
    </w:p>
    <w:p w14:paraId="3714C4E7">
      <w:pPr>
        <w:spacing w:line="420" w:lineRule="exact"/>
        <w:ind w:firstLine="480" w:firstLineChars="200"/>
        <w:rPr>
          <w:rFonts w:hint="eastAsia" w:ascii="宋体" w:hAnsi="宋体" w:eastAsia="宋体" w:cs="宋体"/>
          <w:sz w:val="24"/>
        </w:rPr>
      </w:pPr>
      <w:r>
        <w:rPr>
          <w:rFonts w:hint="eastAsia" w:ascii="宋体" w:hAnsi="宋体" w:eastAsia="宋体" w:cs="宋体"/>
          <w:sz w:val="24"/>
        </w:rPr>
        <w:t>根据《关于在交通基础设施建设中加强廉政建设的若干意见》以及有关工程建设、廉政建设的规定，为做好工程建设中的党风廉政建设，保证工程建设高效优质，保证建设资金的安全和有效使用以及投资效益，</w:t>
      </w:r>
      <w:r>
        <w:rPr>
          <w:rFonts w:hint="eastAsia" w:ascii="宋体" w:hAnsi="宋体" w:eastAsia="宋体" w:cs="宋体"/>
          <w:sz w:val="24"/>
          <w:u w:val="single"/>
        </w:rPr>
        <w:t>　　　　　（项目名称）</w:t>
      </w:r>
      <w:r>
        <w:rPr>
          <w:rFonts w:hint="eastAsia" w:ascii="宋体" w:hAnsi="宋体" w:eastAsia="宋体" w:cs="宋体"/>
          <w:sz w:val="24"/>
        </w:rPr>
        <w:t>的项目法人</w:t>
      </w:r>
      <w:r>
        <w:rPr>
          <w:rFonts w:hint="eastAsia" w:ascii="宋体" w:hAnsi="宋体" w:eastAsia="宋体" w:cs="宋体"/>
          <w:sz w:val="24"/>
          <w:u w:val="single"/>
        </w:rPr>
        <w:t>　　　　</w:t>
      </w:r>
      <w:r>
        <w:rPr>
          <w:rFonts w:hint="eastAsia" w:ascii="宋体" w:hAnsi="宋体" w:eastAsia="宋体" w:cs="宋体"/>
          <w:sz w:val="24"/>
        </w:rPr>
        <w:t>（项目法人名称，以下简称“发包人”）与该项目</w:t>
      </w:r>
      <w:r>
        <w:rPr>
          <w:rFonts w:hint="eastAsia" w:ascii="宋体" w:hAnsi="宋体" w:eastAsia="宋体" w:cs="宋体"/>
          <w:sz w:val="24"/>
          <w:u w:val="single"/>
        </w:rPr>
        <w:t>　　</w:t>
      </w:r>
      <w:r>
        <w:rPr>
          <w:rFonts w:hint="eastAsia" w:ascii="宋体" w:hAnsi="宋体" w:eastAsia="宋体" w:cs="宋体"/>
          <w:sz w:val="24"/>
        </w:rPr>
        <w:t>的施工单位</w:t>
      </w:r>
      <w:r>
        <w:rPr>
          <w:rFonts w:hint="eastAsia" w:ascii="宋体" w:hAnsi="宋体" w:eastAsia="宋体" w:cs="宋体"/>
          <w:sz w:val="24"/>
          <w:u w:val="single"/>
        </w:rPr>
        <w:t>　　　</w:t>
      </w:r>
      <w:r>
        <w:rPr>
          <w:rFonts w:hint="eastAsia" w:ascii="宋体" w:hAnsi="宋体" w:eastAsia="宋体" w:cs="宋体"/>
          <w:sz w:val="24"/>
        </w:rPr>
        <w:t>（施工单位名称，以下简称“承包人”），特订立如下合同。</w:t>
      </w:r>
    </w:p>
    <w:p w14:paraId="314D51ED">
      <w:pPr>
        <w:spacing w:line="420" w:lineRule="exact"/>
        <w:rPr>
          <w:rFonts w:hint="eastAsia" w:ascii="宋体" w:hAnsi="宋体" w:eastAsia="宋体" w:cs="宋体"/>
          <w:sz w:val="24"/>
        </w:rPr>
      </w:pPr>
      <w:r>
        <w:rPr>
          <w:rFonts w:hint="eastAsia" w:ascii="宋体" w:hAnsi="宋体" w:eastAsia="宋体" w:cs="宋体"/>
          <w:sz w:val="24"/>
        </w:rPr>
        <w:t>　　1.发包人和承包人双方的权利和义务</w:t>
      </w:r>
    </w:p>
    <w:p w14:paraId="1E6C0F8E">
      <w:pPr>
        <w:spacing w:line="420" w:lineRule="exact"/>
        <w:rPr>
          <w:rFonts w:hint="eastAsia" w:ascii="宋体" w:hAnsi="宋体" w:eastAsia="宋体" w:cs="宋体"/>
          <w:sz w:val="24"/>
        </w:rPr>
      </w:pPr>
      <w:r>
        <w:rPr>
          <w:rFonts w:hint="eastAsia" w:ascii="宋体" w:hAnsi="宋体" w:eastAsia="宋体" w:cs="宋体"/>
          <w:sz w:val="24"/>
        </w:rPr>
        <w:t>　 （1）严格遵守党的政策规定和国家在关法律法规及交通运输部的有关规定。</w:t>
      </w:r>
    </w:p>
    <w:p w14:paraId="1BFE4EAE">
      <w:pPr>
        <w:spacing w:line="420" w:lineRule="exact"/>
        <w:rPr>
          <w:rFonts w:hint="eastAsia" w:ascii="宋体" w:hAnsi="宋体" w:eastAsia="宋体" w:cs="宋体"/>
          <w:sz w:val="24"/>
        </w:rPr>
      </w:pPr>
      <w:r>
        <w:rPr>
          <w:rFonts w:hint="eastAsia" w:ascii="宋体" w:hAnsi="宋体" w:eastAsia="宋体" w:cs="宋体"/>
          <w:sz w:val="24"/>
        </w:rPr>
        <w:t>　 （2）严格执行</w:t>
      </w:r>
      <w:r>
        <w:rPr>
          <w:rFonts w:hint="eastAsia" w:ascii="宋体" w:hAnsi="宋体" w:eastAsia="宋体" w:cs="宋体"/>
          <w:sz w:val="24"/>
          <w:u w:val="single"/>
        </w:rPr>
        <w:t>　　　      （项目名称）</w:t>
      </w:r>
      <w:r>
        <w:rPr>
          <w:rFonts w:hint="eastAsia" w:ascii="宋体" w:hAnsi="宋体" w:eastAsia="宋体" w:cs="宋体"/>
          <w:sz w:val="24"/>
        </w:rPr>
        <w:t>施工合同文件，自觉按合同办事。</w:t>
      </w:r>
    </w:p>
    <w:p w14:paraId="4B2CCA42">
      <w:pPr>
        <w:spacing w:line="420" w:lineRule="exact"/>
        <w:rPr>
          <w:rFonts w:hint="eastAsia" w:ascii="宋体" w:hAnsi="宋体" w:eastAsia="宋体" w:cs="宋体"/>
          <w:sz w:val="24"/>
        </w:rPr>
      </w:pPr>
      <w:r>
        <w:rPr>
          <w:rFonts w:hint="eastAsia" w:ascii="宋体" w:hAnsi="宋体" w:eastAsia="宋体" w:cs="宋体"/>
          <w:sz w:val="24"/>
        </w:rPr>
        <w:t>　 （3）双方的业务活动坚持公开、公正、诚信、透明的原则（法律认定的商业秘密和合同文件另有规定除外），不得损害国家和集体利益，不得违反工程建设管理规章制度。</w:t>
      </w:r>
    </w:p>
    <w:p w14:paraId="1B0F7D69">
      <w:pPr>
        <w:spacing w:line="420" w:lineRule="exact"/>
        <w:rPr>
          <w:rFonts w:hint="eastAsia" w:ascii="宋体" w:hAnsi="宋体" w:eastAsia="宋体" w:cs="宋体"/>
          <w:sz w:val="24"/>
        </w:rPr>
      </w:pPr>
      <w:r>
        <w:rPr>
          <w:rFonts w:hint="eastAsia" w:ascii="宋体" w:hAnsi="宋体" w:eastAsia="宋体" w:cs="宋体"/>
          <w:sz w:val="24"/>
        </w:rPr>
        <w:t>　　（4）建立健全廉政制度，开展廉政教育，设立廉政告示牌，公布举报电话，监督并认真查处违法违纪行为。</w:t>
      </w:r>
    </w:p>
    <w:p w14:paraId="29EE759E">
      <w:pPr>
        <w:spacing w:line="420" w:lineRule="exact"/>
        <w:rPr>
          <w:rFonts w:hint="eastAsia" w:ascii="宋体" w:hAnsi="宋体" w:eastAsia="宋体" w:cs="宋体"/>
          <w:sz w:val="24"/>
        </w:rPr>
      </w:pPr>
      <w:r>
        <w:rPr>
          <w:rFonts w:hint="eastAsia" w:ascii="宋体" w:hAnsi="宋体" w:eastAsia="宋体" w:cs="宋体"/>
          <w:sz w:val="24"/>
        </w:rPr>
        <w:t>　　（5）发现对方在业务活动中有违反廉政规定的行为，有及时提醒对方纠正的权利和义务。</w:t>
      </w:r>
    </w:p>
    <w:p w14:paraId="55A77B3D">
      <w:pPr>
        <w:spacing w:line="420" w:lineRule="exact"/>
        <w:rPr>
          <w:rFonts w:hint="eastAsia" w:ascii="宋体" w:hAnsi="宋体" w:eastAsia="宋体" w:cs="宋体"/>
          <w:sz w:val="24"/>
        </w:rPr>
      </w:pPr>
      <w:r>
        <w:rPr>
          <w:rFonts w:hint="eastAsia" w:ascii="宋体" w:hAnsi="宋体" w:eastAsia="宋体" w:cs="宋体"/>
          <w:sz w:val="24"/>
        </w:rPr>
        <w:t>　　（6）发现对方严重违反本合同义务条款的行为，有向其上级有关部门举报、建议给予处理并要求告知处理结果的权利。</w:t>
      </w:r>
    </w:p>
    <w:p w14:paraId="5E4AA082">
      <w:pPr>
        <w:spacing w:line="420" w:lineRule="exact"/>
        <w:rPr>
          <w:rFonts w:hint="eastAsia" w:ascii="宋体" w:hAnsi="宋体" w:eastAsia="宋体" w:cs="宋体"/>
          <w:sz w:val="24"/>
        </w:rPr>
      </w:pPr>
      <w:r>
        <w:rPr>
          <w:rFonts w:hint="eastAsia" w:ascii="宋体" w:hAnsi="宋体" w:eastAsia="宋体" w:cs="宋体"/>
          <w:sz w:val="24"/>
        </w:rPr>
        <w:t>　　2.发包人的义务</w:t>
      </w:r>
    </w:p>
    <w:p w14:paraId="56A8AF2A">
      <w:pPr>
        <w:spacing w:line="420" w:lineRule="exact"/>
        <w:rPr>
          <w:rFonts w:hint="eastAsia" w:ascii="宋体" w:hAnsi="宋体" w:eastAsia="宋体" w:cs="宋体"/>
          <w:sz w:val="24"/>
        </w:rPr>
      </w:pPr>
      <w:r>
        <w:rPr>
          <w:rFonts w:hint="eastAsia" w:ascii="宋体" w:hAnsi="宋体" w:eastAsia="宋体" w:cs="宋体"/>
          <w:sz w:val="24"/>
        </w:rPr>
        <w:t>　　（1）发包人及其工作人员不得索要或接受承包人的礼金、有价证券和贵重物品，不得让承包人报销任何应由发包人或发包人工作人员个人支付的费用等。</w:t>
      </w:r>
    </w:p>
    <w:p w14:paraId="6B1D749F">
      <w:pPr>
        <w:spacing w:line="420" w:lineRule="exact"/>
        <w:rPr>
          <w:rFonts w:hint="eastAsia" w:ascii="宋体" w:hAnsi="宋体" w:eastAsia="宋体" w:cs="宋体"/>
          <w:sz w:val="24"/>
        </w:rPr>
      </w:pPr>
      <w:r>
        <w:rPr>
          <w:rFonts w:hint="eastAsia" w:ascii="宋体" w:hAnsi="宋体" w:eastAsia="宋体" w:cs="宋体"/>
          <w:sz w:val="24"/>
        </w:rPr>
        <w:t>　　（2）发包人工作人员不得参加承包人安排的超标准宴请和娱乐活动；不得接受承包人提供的通讯工具、交通工具和高档办公用品等。</w:t>
      </w:r>
    </w:p>
    <w:p w14:paraId="10E8D506">
      <w:pPr>
        <w:spacing w:line="420" w:lineRule="exact"/>
        <w:ind w:firstLine="360" w:firstLineChars="150"/>
        <w:rPr>
          <w:rFonts w:hint="eastAsia" w:ascii="宋体" w:hAnsi="宋体" w:eastAsia="宋体" w:cs="宋体"/>
          <w:sz w:val="24"/>
        </w:rPr>
      </w:pPr>
      <w:r>
        <w:rPr>
          <w:rFonts w:hint="eastAsia" w:ascii="宋体" w:hAnsi="宋体" w:eastAsia="宋体" w:cs="宋体"/>
          <w:sz w:val="24"/>
        </w:rPr>
        <w:t>（3）发包人及其工作人员不得要求或者接受承包人为其住房装修、婚丧嫁娶活动、配偶子女的工作安排以及出国出境、旅游等提供方便等。</w:t>
      </w:r>
    </w:p>
    <w:p w14:paraId="6D16DE6F">
      <w:pPr>
        <w:spacing w:line="420" w:lineRule="exact"/>
        <w:rPr>
          <w:rFonts w:hint="eastAsia" w:ascii="宋体" w:hAnsi="宋体" w:eastAsia="宋体" w:cs="宋体"/>
          <w:sz w:val="24"/>
        </w:rPr>
      </w:pPr>
      <w:r>
        <w:rPr>
          <w:rFonts w:hint="eastAsia" w:ascii="宋体" w:hAnsi="宋体" w:eastAsia="宋体" w:cs="宋体"/>
          <w:sz w:val="24"/>
        </w:rPr>
        <w:t>　　（4）发包人工作人员及其配偶、子女不得从事与发包人工程有关的材料设备供应、工程分包、劳务等经济活动等。</w:t>
      </w:r>
    </w:p>
    <w:p w14:paraId="379C9933">
      <w:pPr>
        <w:spacing w:line="420" w:lineRule="exact"/>
        <w:rPr>
          <w:rFonts w:hint="eastAsia" w:ascii="宋体" w:hAnsi="宋体" w:eastAsia="宋体" w:cs="宋体"/>
          <w:sz w:val="24"/>
        </w:rPr>
      </w:pPr>
      <w:r>
        <w:rPr>
          <w:rFonts w:hint="eastAsia" w:ascii="宋体" w:hAnsi="宋体" w:eastAsia="宋体" w:cs="宋体"/>
          <w:sz w:val="24"/>
        </w:rPr>
        <w:t>　　（5）发包人及其工作人员不得以任何理由向承包人推荐分包单位或推销材料，不得要求承包人购买合同规定外的材料和设备。</w:t>
      </w:r>
    </w:p>
    <w:p w14:paraId="76324DD8">
      <w:pPr>
        <w:spacing w:line="420" w:lineRule="exact"/>
        <w:rPr>
          <w:rFonts w:hint="eastAsia" w:ascii="宋体" w:hAnsi="宋体" w:eastAsia="宋体" w:cs="宋体"/>
          <w:sz w:val="24"/>
        </w:rPr>
      </w:pPr>
      <w:r>
        <w:rPr>
          <w:rFonts w:hint="eastAsia" w:ascii="宋体" w:hAnsi="宋体" w:eastAsia="宋体" w:cs="宋体"/>
          <w:sz w:val="24"/>
        </w:rPr>
        <w:t>　　（6）发包人工作人员要秉公办事，不准营私舞弊，不准利用职权从事各种个人有偿中介活动和安排个人施工队伍。</w:t>
      </w:r>
    </w:p>
    <w:p w14:paraId="4E61A6FB">
      <w:pPr>
        <w:spacing w:line="420" w:lineRule="exact"/>
        <w:rPr>
          <w:rFonts w:hint="eastAsia" w:ascii="宋体" w:hAnsi="宋体" w:eastAsia="宋体" w:cs="宋体"/>
          <w:sz w:val="24"/>
        </w:rPr>
      </w:pPr>
      <w:r>
        <w:rPr>
          <w:rFonts w:hint="eastAsia" w:ascii="宋体" w:hAnsi="宋体" w:eastAsia="宋体" w:cs="宋体"/>
          <w:sz w:val="24"/>
        </w:rPr>
        <w:t>　　3.承包人义务</w:t>
      </w:r>
    </w:p>
    <w:p w14:paraId="1DB68DD8">
      <w:pPr>
        <w:spacing w:line="420" w:lineRule="exact"/>
        <w:rPr>
          <w:rFonts w:hint="eastAsia" w:ascii="宋体" w:hAnsi="宋体" w:eastAsia="宋体" w:cs="宋体"/>
          <w:sz w:val="24"/>
        </w:rPr>
      </w:pPr>
      <w:r>
        <w:rPr>
          <w:rFonts w:hint="eastAsia" w:ascii="宋体" w:hAnsi="宋体" w:eastAsia="宋体" w:cs="宋体"/>
          <w:sz w:val="24"/>
        </w:rPr>
        <w:t>　　（1）承包人不得以任何理由向发包人及其工作人员行贿或馈赠礼金、有价证券、贵重礼品。</w:t>
      </w:r>
    </w:p>
    <w:p w14:paraId="3D9D4903">
      <w:pPr>
        <w:spacing w:line="420" w:lineRule="exact"/>
        <w:rPr>
          <w:rFonts w:hint="eastAsia" w:ascii="宋体" w:hAnsi="宋体" w:eastAsia="宋体" w:cs="宋体"/>
          <w:sz w:val="24"/>
        </w:rPr>
      </w:pPr>
      <w:r>
        <w:rPr>
          <w:rFonts w:hint="eastAsia" w:ascii="宋体" w:hAnsi="宋体" w:eastAsia="宋体" w:cs="宋体"/>
          <w:sz w:val="24"/>
        </w:rPr>
        <w:t>　　（2）承包人不得以任何名义为发包人及其工作人员报销应由发包人单位或个人支付的任何费用。</w:t>
      </w:r>
    </w:p>
    <w:p w14:paraId="5788280C">
      <w:pPr>
        <w:spacing w:line="420" w:lineRule="exact"/>
        <w:rPr>
          <w:rFonts w:hint="eastAsia" w:ascii="宋体" w:hAnsi="宋体" w:eastAsia="宋体" w:cs="宋体"/>
          <w:sz w:val="24"/>
        </w:rPr>
      </w:pPr>
      <w:r>
        <w:rPr>
          <w:rFonts w:hint="eastAsia" w:ascii="宋体" w:hAnsi="宋体" w:eastAsia="宋体" w:cs="宋体"/>
          <w:sz w:val="24"/>
        </w:rPr>
        <w:t>　　（3）承包人不得以任何理由安排发包人工作人员参加超标准宴请及娱乐活动。</w:t>
      </w:r>
    </w:p>
    <w:p w14:paraId="1D993E2F">
      <w:pPr>
        <w:spacing w:line="420" w:lineRule="exact"/>
        <w:rPr>
          <w:rFonts w:hint="eastAsia" w:ascii="宋体" w:hAnsi="宋体" w:eastAsia="宋体" w:cs="宋体"/>
          <w:sz w:val="24"/>
        </w:rPr>
      </w:pPr>
      <w:r>
        <w:rPr>
          <w:rFonts w:hint="eastAsia" w:ascii="宋体" w:hAnsi="宋体" w:eastAsia="宋体" w:cs="宋体"/>
          <w:sz w:val="24"/>
        </w:rPr>
        <w:t>　　（4）承包人不得为发包人单位和个人购置或提供通讯工具、交通工具和高档办公用品等。</w:t>
      </w:r>
    </w:p>
    <w:p w14:paraId="45A78C64">
      <w:pPr>
        <w:spacing w:line="420" w:lineRule="exact"/>
        <w:rPr>
          <w:rFonts w:hint="eastAsia" w:ascii="宋体" w:hAnsi="宋体" w:eastAsia="宋体" w:cs="宋体"/>
          <w:sz w:val="24"/>
        </w:rPr>
      </w:pPr>
      <w:r>
        <w:rPr>
          <w:rFonts w:hint="eastAsia" w:ascii="宋体" w:hAnsi="宋体" w:eastAsia="宋体" w:cs="宋体"/>
          <w:sz w:val="24"/>
        </w:rPr>
        <w:t>　　4.违约责任</w:t>
      </w:r>
    </w:p>
    <w:p w14:paraId="4414E84C">
      <w:pPr>
        <w:spacing w:line="420" w:lineRule="exact"/>
        <w:rPr>
          <w:rFonts w:hint="eastAsia" w:ascii="宋体" w:hAnsi="宋体" w:eastAsia="宋体" w:cs="宋体"/>
          <w:sz w:val="24"/>
        </w:rPr>
      </w:pPr>
      <w:r>
        <w:rPr>
          <w:rFonts w:hint="eastAsia" w:ascii="宋体" w:hAnsi="宋体" w:eastAsia="宋体" w:cs="宋体"/>
          <w:sz w:val="24"/>
        </w:rPr>
        <w:t>　　（1）发包人及其工作人员违反本合同第1、2条，按管理权限，依据有关规定给予党纪、政纪或组织处理；涉嫌犯罪的，移交司法机关追究刑事责任；给承包人单位造成经济损失的，应予以赔偿。</w:t>
      </w:r>
    </w:p>
    <w:p w14:paraId="1EF6D22D">
      <w:pPr>
        <w:spacing w:line="420" w:lineRule="exact"/>
        <w:rPr>
          <w:rFonts w:hint="eastAsia" w:ascii="宋体" w:hAnsi="宋体" w:eastAsia="宋体" w:cs="宋体"/>
          <w:sz w:val="24"/>
        </w:rPr>
      </w:pPr>
      <w:r>
        <w:rPr>
          <w:rFonts w:hint="eastAsia" w:ascii="宋体" w:hAnsi="宋体" w:eastAsia="宋体" w:cs="宋体"/>
          <w:sz w:val="24"/>
        </w:rPr>
        <w:t>　　（2）承包人及其工作人员违反本合同第1、3条，按管理权限，依据有关规定给予党纪、政纪或组织处理；给发包人单位造成经济损失的，应予以赔偿；情节严重的，发包人建议交通工程建设主管部门给予承包人一至三年内不得进入其主管的交通工程建设市场的处罚。</w:t>
      </w:r>
    </w:p>
    <w:p w14:paraId="28974242">
      <w:pPr>
        <w:spacing w:line="420" w:lineRule="exact"/>
        <w:ind w:firstLine="480" w:firstLineChars="200"/>
        <w:rPr>
          <w:rFonts w:hint="eastAsia" w:ascii="宋体" w:hAnsi="宋体" w:eastAsia="宋体" w:cs="宋体"/>
          <w:sz w:val="24"/>
        </w:rPr>
      </w:pPr>
      <w:r>
        <w:rPr>
          <w:rFonts w:hint="eastAsia" w:ascii="宋体" w:hAnsi="宋体" w:eastAsia="宋体" w:cs="宋体"/>
          <w:sz w:val="24"/>
        </w:rPr>
        <w:t>5.双方约定：本合同由双方或双方上级单位的纪检监察机关负责监督执行。由发包人或发包人上级单位的纪检监察部门约请承包人或承包人上级单位纪检监察部门对本合同执行情况进行检查，提出在本合同规定范围内的裁定意见。</w:t>
      </w:r>
    </w:p>
    <w:p w14:paraId="2291D001">
      <w:pPr>
        <w:spacing w:line="420" w:lineRule="exact"/>
        <w:rPr>
          <w:rFonts w:hint="eastAsia" w:ascii="宋体" w:hAnsi="宋体" w:eastAsia="宋体" w:cs="宋体"/>
          <w:sz w:val="24"/>
        </w:rPr>
      </w:pPr>
      <w:r>
        <w:rPr>
          <w:rFonts w:hint="eastAsia" w:ascii="宋体" w:hAnsi="宋体" w:eastAsia="宋体" w:cs="宋体"/>
          <w:sz w:val="24"/>
        </w:rPr>
        <w:t>　　6.本合同有效期为发包人和承包人签署之日起至该工程项目竣工验收后止。</w:t>
      </w:r>
    </w:p>
    <w:p w14:paraId="754363F6">
      <w:pPr>
        <w:spacing w:line="420" w:lineRule="exact"/>
        <w:rPr>
          <w:rFonts w:hint="eastAsia" w:ascii="宋体" w:hAnsi="宋体" w:eastAsia="宋体" w:cs="宋体"/>
          <w:sz w:val="24"/>
        </w:rPr>
      </w:pPr>
      <w:r>
        <w:rPr>
          <w:rFonts w:hint="eastAsia" w:ascii="宋体" w:hAnsi="宋体" w:eastAsia="宋体" w:cs="宋体"/>
          <w:sz w:val="24"/>
        </w:rPr>
        <w:t>　　7.本合同作为</w:t>
      </w:r>
      <w:r>
        <w:rPr>
          <w:rFonts w:hint="eastAsia" w:ascii="宋体" w:hAnsi="宋体" w:eastAsia="宋体" w:cs="宋体"/>
          <w:sz w:val="24"/>
          <w:u w:val="single"/>
        </w:rPr>
        <w:t>　　　</w:t>
      </w:r>
      <w:r>
        <w:rPr>
          <w:rFonts w:hint="eastAsia" w:ascii="宋体" w:hAnsi="宋体" w:eastAsia="宋体" w:cs="宋体"/>
          <w:sz w:val="24"/>
        </w:rPr>
        <w:t>（项目名称</w:t>
      </w:r>
      <w:r>
        <w:rPr>
          <w:rFonts w:hint="eastAsia" w:ascii="宋体" w:hAnsi="宋体" w:eastAsia="宋体" w:cs="宋体"/>
          <w:sz w:val="24"/>
          <w:lang w:eastAsia="zh-CN"/>
        </w:rPr>
        <w:t>）</w:t>
      </w:r>
      <w:r>
        <w:rPr>
          <w:rFonts w:hint="eastAsia" w:ascii="宋体" w:hAnsi="宋体" w:eastAsia="宋体" w:cs="宋体"/>
          <w:sz w:val="24"/>
        </w:rPr>
        <w:t>施工合同的附件，与工程施工合同具有同等的法律效力，经合同双方签署后立即生效。</w:t>
      </w:r>
    </w:p>
    <w:p w14:paraId="58C9FFA5">
      <w:pPr>
        <w:spacing w:line="420" w:lineRule="exact"/>
        <w:rPr>
          <w:rFonts w:hint="eastAsia" w:ascii="宋体" w:hAnsi="宋体" w:eastAsia="宋体" w:cs="宋体"/>
          <w:sz w:val="24"/>
        </w:rPr>
      </w:pPr>
      <w:r>
        <w:rPr>
          <w:rFonts w:hint="eastAsia" w:ascii="宋体" w:hAnsi="宋体" w:eastAsia="宋体" w:cs="宋体"/>
          <w:sz w:val="24"/>
        </w:rPr>
        <w:t>　　8.本合同一式四份，由发包人和承包人各执一份，送交发包人和承包人的监督单位各一份。</w:t>
      </w:r>
    </w:p>
    <w:p w14:paraId="53692798">
      <w:pPr>
        <w:spacing w:line="440" w:lineRule="exact"/>
        <w:jc w:val="center"/>
        <w:rPr>
          <w:rFonts w:hint="eastAsia" w:ascii="宋体" w:hAnsi="宋体" w:eastAsia="宋体" w:cs="宋体"/>
          <w:sz w:val="24"/>
        </w:rPr>
      </w:pPr>
    </w:p>
    <w:p w14:paraId="2E357914">
      <w:pPr>
        <w:spacing w:line="440" w:lineRule="exact"/>
        <w:rPr>
          <w:rFonts w:hint="eastAsia" w:ascii="宋体" w:hAnsi="宋体" w:eastAsia="宋体" w:cs="宋体"/>
          <w:sz w:val="24"/>
        </w:rPr>
      </w:pPr>
      <w:r>
        <w:rPr>
          <w:rFonts w:hint="eastAsia" w:ascii="宋体" w:hAnsi="宋体" w:eastAsia="宋体" w:cs="宋体"/>
          <w:sz w:val="24"/>
        </w:rPr>
        <w:t>发包人：</w:t>
      </w:r>
      <w:r>
        <w:rPr>
          <w:rFonts w:hint="eastAsia" w:ascii="宋体" w:hAnsi="宋体" w:eastAsia="宋体" w:cs="宋体"/>
          <w:sz w:val="24"/>
          <w:u w:val="single"/>
        </w:rPr>
        <w:t xml:space="preserve">         　       </w:t>
      </w:r>
      <w:r>
        <w:rPr>
          <w:rFonts w:hint="eastAsia" w:ascii="宋体" w:hAnsi="宋体" w:eastAsia="宋体" w:cs="宋体"/>
          <w:sz w:val="24"/>
        </w:rPr>
        <w:t>（盖单位章）    承包人：</w:t>
      </w:r>
      <w:r>
        <w:rPr>
          <w:rFonts w:hint="eastAsia" w:ascii="宋体" w:hAnsi="宋体" w:eastAsia="宋体" w:cs="宋体"/>
          <w:sz w:val="24"/>
          <w:u w:val="single"/>
        </w:rPr>
        <w:t xml:space="preserve">                   </w:t>
      </w:r>
      <w:r>
        <w:rPr>
          <w:rFonts w:hint="eastAsia" w:ascii="宋体" w:hAnsi="宋体" w:eastAsia="宋体" w:cs="宋体"/>
          <w:sz w:val="24"/>
        </w:rPr>
        <w:t>（盖单位章）</w:t>
      </w:r>
    </w:p>
    <w:p w14:paraId="3CFE6BE5">
      <w:pPr>
        <w:spacing w:line="440" w:lineRule="exact"/>
        <w:rPr>
          <w:rFonts w:hint="eastAsia" w:ascii="宋体" w:hAnsi="宋体" w:eastAsia="宋体" w:cs="宋体"/>
          <w:sz w:val="24"/>
        </w:rPr>
      </w:pPr>
      <w:r>
        <w:rPr>
          <w:rFonts w:hint="eastAsia" w:ascii="宋体" w:hAnsi="宋体" w:eastAsia="宋体" w:cs="宋体"/>
          <w:sz w:val="24"/>
        </w:rPr>
        <w:t>法定代表人或其委托代理人：</w:t>
      </w:r>
      <w:r>
        <w:rPr>
          <w:rFonts w:hint="eastAsia" w:ascii="宋体" w:hAnsi="宋体" w:eastAsia="宋体" w:cs="宋体"/>
          <w:sz w:val="24"/>
          <w:u w:val="single"/>
        </w:rPr>
        <w:t xml:space="preserve">    </w:t>
      </w:r>
      <w:r>
        <w:rPr>
          <w:rFonts w:hint="eastAsia" w:ascii="宋体" w:hAnsi="宋体" w:eastAsia="宋体" w:cs="宋体"/>
          <w:sz w:val="24"/>
        </w:rPr>
        <w:t xml:space="preserve">    法定代表人或其委托代理人：</w:t>
      </w:r>
      <w:r>
        <w:rPr>
          <w:rFonts w:hint="eastAsia" w:ascii="宋体" w:hAnsi="宋体" w:eastAsia="宋体" w:cs="宋体"/>
          <w:sz w:val="24"/>
          <w:u w:val="single"/>
        </w:rPr>
        <w:t xml:space="preserve">      </w:t>
      </w:r>
    </w:p>
    <w:p w14:paraId="56354AB3">
      <w:pPr>
        <w:spacing w:line="440" w:lineRule="exact"/>
        <w:rPr>
          <w:rFonts w:hint="eastAsia" w:ascii="宋体" w:hAnsi="宋体" w:eastAsia="宋体" w:cs="宋体"/>
          <w:sz w:val="24"/>
        </w:rPr>
      </w:pP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 xml:space="preserve">月 </w:t>
      </w:r>
      <w:r>
        <w:rPr>
          <w:rFonts w:hint="eastAsia" w:ascii="宋体" w:hAnsi="宋体" w:eastAsia="宋体" w:cs="宋体"/>
          <w:sz w:val="24"/>
          <w:u w:val="single"/>
        </w:rPr>
        <w:t xml:space="preserve">     </w:t>
      </w:r>
      <w:r>
        <w:rPr>
          <w:rFonts w:hint="eastAsia" w:ascii="宋体" w:hAnsi="宋体" w:eastAsia="宋体" w:cs="宋体"/>
          <w:sz w:val="24"/>
        </w:rPr>
        <w:t xml:space="preserve">日         　　　　　 </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 xml:space="preserve">月 </w:t>
      </w:r>
      <w:r>
        <w:rPr>
          <w:rFonts w:hint="eastAsia" w:ascii="宋体" w:hAnsi="宋体" w:eastAsia="宋体" w:cs="宋体"/>
          <w:sz w:val="24"/>
          <w:u w:val="single"/>
        </w:rPr>
        <w:t xml:space="preserve">     </w:t>
      </w:r>
      <w:r>
        <w:rPr>
          <w:rFonts w:hint="eastAsia" w:ascii="宋体" w:hAnsi="宋体" w:eastAsia="宋体" w:cs="宋体"/>
          <w:sz w:val="24"/>
        </w:rPr>
        <w:t>日</w:t>
      </w:r>
    </w:p>
    <w:p w14:paraId="622DD969">
      <w:pPr>
        <w:spacing w:line="440" w:lineRule="exact"/>
        <w:rPr>
          <w:rFonts w:hint="eastAsia" w:ascii="宋体" w:hAnsi="宋体" w:eastAsia="宋体" w:cs="宋体"/>
          <w:sz w:val="24"/>
        </w:rPr>
      </w:pPr>
      <w:r>
        <w:rPr>
          <w:rFonts w:hint="eastAsia" w:ascii="宋体" w:hAnsi="宋体" w:eastAsia="宋体" w:cs="宋体"/>
          <w:sz w:val="24"/>
        </w:rPr>
        <w:t>发包人监督单位：</w:t>
      </w:r>
      <w:r>
        <w:rPr>
          <w:rFonts w:hint="eastAsia" w:ascii="宋体" w:hAnsi="宋体" w:eastAsia="宋体" w:cs="宋体"/>
          <w:sz w:val="24"/>
          <w:u w:val="single"/>
        </w:rPr>
        <w:t xml:space="preserve">              </w:t>
      </w:r>
      <w:r>
        <w:rPr>
          <w:rFonts w:hint="eastAsia" w:ascii="宋体" w:hAnsi="宋体" w:eastAsia="宋体" w:cs="宋体"/>
          <w:sz w:val="24"/>
        </w:rPr>
        <w:t>　　　　承包人监督单位：</w:t>
      </w:r>
      <w:r>
        <w:rPr>
          <w:rFonts w:hint="eastAsia" w:ascii="宋体" w:hAnsi="宋体" w:eastAsia="宋体" w:cs="宋体"/>
          <w:sz w:val="24"/>
          <w:u w:val="single"/>
        </w:rPr>
        <w:t xml:space="preserve">              </w:t>
      </w:r>
    </w:p>
    <w:p w14:paraId="550C0A33">
      <w:pPr>
        <w:spacing w:line="440" w:lineRule="exact"/>
        <w:rPr>
          <w:rFonts w:hint="eastAsia" w:ascii="宋体" w:hAnsi="宋体" w:eastAsia="宋体" w:cs="宋体"/>
          <w:sz w:val="24"/>
        </w:rPr>
      </w:pPr>
      <w:bookmarkStart w:id="24" w:name="_Toc6451"/>
    </w:p>
    <w:p w14:paraId="731ED5E7">
      <w:pPr>
        <w:spacing w:line="440" w:lineRule="exact"/>
        <w:rPr>
          <w:rFonts w:hint="eastAsia" w:ascii="宋体" w:hAnsi="宋体" w:eastAsia="宋体" w:cs="宋体"/>
          <w:sz w:val="24"/>
        </w:rPr>
      </w:pPr>
    </w:p>
    <w:p w14:paraId="7F1098E9">
      <w:pPr>
        <w:spacing w:line="440" w:lineRule="exact"/>
        <w:rPr>
          <w:rFonts w:hint="eastAsia" w:ascii="宋体" w:hAnsi="宋体" w:eastAsia="宋体" w:cs="宋体"/>
          <w:sz w:val="24"/>
        </w:rPr>
      </w:pPr>
      <w:r>
        <w:rPr>
          <w:rFonts w:hint="eastAsia" w:ascii="宋体" w:hAnsi="宋体" w:eastAsia="宋体" w:cs="宋体"/>
          <w:sz w:val="24"/>
        </w:rPr>
        <w:t>附件三　安全生产合同</w:t>
      </w:r>
      <w:bookmarkEnd w:id="24"/>
    </w:p>
    <w:p w14:paraId="214EB34E">
      <w:pPr>
        <w:spacing w:line="440" w:lineRule="exact"/>
        <w:jc w:val="center"/>
        <w:rPr>
          <w:rFonts w:hint="eastAsia" w:ascii="宋体" w:hAnsi="宋体" w:eastAsia="宋体" w:cs="宋体"/>
          <w:b/>
          <w:bCs/>
          <w:sz w:val="28"/>
          <w:szCs w:val="28"/>
        </w:rPr>
      </w:pPr>
      <w:r>
        <w:rPr>
          <w:rFonts w:hint="eastAsia" w:ascii="宋体" w:hAnsi="宋体" w:eastAsia="宋体" w:cs="宋体"/>
          <w:b/>
          <w:bCs/>
          <w:sz w:val="28"/>
          <w:szCs w:val="28"/>
        </w:rPr>
        <w:t>安全生产合同</w:t>
      </w:r>
    </w:p>
    <w:p w14:paraId="312A3890">
      <w:pPr>
        <w:spacing w:line="440" w:lineRule="exact"/>
        <w:rPr>
          <w:rFonts w:hint="eastAsia" w:ascii="宋体" w:hAnsi="宋体" w:eastAsia="宋体" w:cs="宋体"/>
          <w:sz w:val="24"/>
        </w:rPr>
      </w:pPr>
    </w:p>
    <w:p w14:paraId="54F04802">
      <w:pPr>
        <w:spacing w:line="400" w:lineRule="exact"/>
        <w:ind w:firstLine="470" w:firstLineChars="196"/>
        <w:rPr>
          <w:rFonts w:hint="eastAsia" w:ascii="宋体" w:hAnsi="宋体" w:eastAsia="宋体" w:cs="宋体"/>
          <w:sz w:val="24"/>
          <w:u w:val="single"/>
        </w:rPr>
      </w:pPr>
      <w:r>
        <w:rPr>
          <w:rFonts w:hint="eastAsia" w:ascii="宋体" w:hAnsi="宋体" w:eastAsia="宋体" w:cs="宋体"/>
          <w:sz w:val="24"/>
        </w:rPr>
        <w:t>为在</w:t>
      </w:r>
      <w:r>
        <w:rPr>
          <w:rFonts w:hint="eastAsia" w:ascii="宋体" w:hAnsi="宋体" w:eastAsia="宋体" w:cs="宋体"/>
          <w:sz w:val="24"/>
          <w:u w:val="single"/>
        </w:rPr>
        <w:t>　　　　　</w:t>
      </w:r>
      <w:r>
        <w:rPr>
          <w:rFonts w:hint="eastAsia" w:ascii="宋体" w:hAnsi="宋体" w:eastAsia="宋体" w:cs="宋体"/>
          <w:sz w:val="24"/>
        </w:rPr>
        <w:t>（项目名称）施工合同的实施过程中创造安全、高效的施工环境，切实搞好本项目的安全管理工作，本项目发包人</w:t>
      </w:r>
      <w:r>
        <w:rPr>
          <w:rFonts w:hint="eastAsia" w:ascii="宋体" w:hAnsi="宋体" w:eastAsia="宋体" w:cs="宋体"/>
          <w:sz w:val="24"/>
          <w:u w:val="single"/>
        </w:rPr>
        <w:t>　　　　　　</w:t>
      </w:r>
      <w:r>
        <w:rPr>
          <w:rFonts w:hint="eastAsia" w:ascii="宋体" w:hAnsi="宋体" w:eastAsia="宋体" w:cs="宋体"/>
          <w:sz w:val="24"/>
        </w:rPr>
        <w:t>（发包人名称，以下简称“发包人”）与承包人</w:t>
      </w:r>
      <w:r>
        <w:rPr>
          <w:rFonts w:hint="eastAsia" w:ascii="宋体" w:hAnsi="宋体" w:eastAsia="宋体" w:cs="宋体"/>
          <w:sz w:val="24"/>
          <w:u w:val="single"/>
        </w:rPr>
        <w:t>　　　　</w:t>
      </w:r>
      <w:r>
        <w:rPr>
          <w:rFonts w:hint="eastAsia" w:ascii="宋体" w:hAnsi="宋体" w:eastAsia="宋体" w:cs="宋体"/>
          <w:sz w:val="24"/>
        </w:rPr>
        <w:t>（承包人名称，以下简称“承包人”）特此签订安全生产合同：</w:t>
      </w:r>
    </w:p>
    <w:p w14:paraId="6FAA24A6">
      <w:pPr>
        <w:spacing w:line="400" w:lineRule="exact"/>
        <w:rPr>
          <w:rFonts w:hint="eastAsia" w:ascii="宋体" w:hAnsi="宋体" w:eastAsia="宋体" w:cs="宋体"/>
          <w:sz w:val="24"/>
        </w:rPr>
      </w:pPr>
      <w:r>
        <w:rPr>
          <w:rFonts w:hint="eastAsia" w:ascii="宋体" w:hAnsi="宋体" w:eastAsia="宋体" w:cs="宋体"/>
          <w:sz w:val="24"/>
        </w:rPr>
        <w:t>　　1.发包人职责</w:t>
      </w:r>
    </w:p>
    <w:p w14:paraId="13C0EBE0">
      <w:pPr>
        <w:spacing w:line="400" w:lineRule="exact"/>
        <w:rPr>
          <w:rFonts w:hint="eastAsia" w:ascii="宋体" w:hAnsi="宋体" w:eastAsia="宋体" w:cs="宋体"/>
          <w:sz w:val="24"/>
        </w:rPr>
      </w:pPr>
      <w:r>
        <w:rPr>
          <w:rFonts w:hint="eastAsia" w:ascii="宋体" w:hAnsi="宋体" w:eastAsia="宋体" w:cs="宋体"/>
          <w:sz w:val="24"/>
        </w:rPr>
        <w:t>　　（1）严格遵守国家有关安全生产的法律法规，认真执行工程承包合同中的有关安全要求。</w:t>
      </w:r>
    </w:p>
    <w:p w14:paraId="54135EAB">
      <w:pPr>
        <w:spacing w:line="400" w:lineRule="exact"/>
        <w:rPr>
          <w:rFonts w:hint="eastAsia" w:ascii="宋体" w:hAnsi="宋体" w:eastAsia="宋体" w:cs="宋体"/>
          <w:sz w:val="24"/>
        </w:rPr>
      </w:pPr>
      <w:r>
        <w:rPr>
          <w:rFonts w:hint="eastAsia" w:ascii="宋体" w:hAnsi="宋体" w:eastAsia="宋体" w:cs="宋体"/>
          <w:sz w:val="24"/>
        </w:rPr>
        <w:t>　　（2）按照“安全第一、预防为主”和坚持“管生产必须管安全”的原则进行安全生产管理，做到生产与安全工作同时计划、布置、检查、总结和评比。</w:t>
      </w:r>
    </w:p>
    <w:p w14:paraId="6640BF2A">
      <w:pPr>
        <w:spacing w:line="400" w:lineRule="exact"/>
        <w:rPr>
          <w:rFonts w:hint="eastAsia" w:ascii="宋体" w:hAnsi="宋体" w:eastAsia="宋体" w:cs="宋体"/>
          <w:sz w:val="24"/>
        </w:rPr>
      </w:pPr>
      <w:r>
        <w:rPr>
          <w:rFonts w:hint="eastAsia" w:ascii="宋体" w:hAnsi="宋体" w:eastAsia="宋体" w:cs="宋体"/>
          <w:sz w:val="24"/>
        </w:rPr>
        <w:t>　　（3）重要的安全设施必须坚持与主体工程“三同时”的原则，即：同时设计、审批，同时施工，同时验收，投入使用。</w:t>
      </w:r>
    </w:p>
    <w:p w14:paraId="5F78076A">
      <w:pPr>
        <w:spacing w:line="400" w:lineRule="exact"/>
        <w:rPr>
          <w:rFonts w:hint="eastAsia" w:ascii="宋体" w:hAnsi="宋体" w:eastAsia="宋体" w:cs="宋体"/>
          <w:sz w:val="24"/>
        </w:rPr>
      </w:pPr>
      <w:r>
        <w:rPr>
          <w:rFonts w:hint="eastAsia" w:ascii="宋体" w:hAnsi="宋体" w:eastAsia="宋体" w:cs="宋体"/>
          <w:sz w:val="24"/>
        </w:rPr>
        <w:t>　　（4）定期召开安全生产调度会，及时传达中央及地方有关安全生产的精神。</w:t>
      </w:r>
    </w:p>
    <w:p w14:paraId="2322AFEA">
      <w:pPr>
        <w:spacing w:line="400" w:lineRule="exact"/>
        <w:rPr>
          <w:rFonts w:hint="eastAsia" w:ascii="宋体" w:hAnsi="宋体" w:eastAsia="宋体" w:cs="宋体"/>
          <w:sz w:val="24"/>
        </w:rPr>
      </w:pPr>
      <w:r>
        <w:rPr>
          <w:rFonts w:hint="eastAsia" w:ascii="宋体" w:hAnsi="宋体" w:eastAsia="宋体" w:cs="宋体"/>
          <w:sz w:val="24"/>
        </w:rPr>
        <w:t>　　（5）组织对承包人施工现场进行安全生产检查，监督承包人及时处理发现的各种安全隐患。</w:t>
      </w:r>
    </w:p>
    <w:p w14:paraId="400C617C">
      <w:pPr>
        <w:spacing w:line="400" w:lineRule="exact"/>
        <w:rPr>
          <w:rFonts w:hint="eastAsia" w:ascii="宋体" w:hAnsi="宋体" w:eastAsia="宋体" w:cs="宋体"/>
          <w:sz w:val="24"/>
        </w:rPr>
      </w:pPr>
      <w:r>
        <w:rPr>
          <w:rFonts w:hint="eastAsia" w:ascii="宋体" w:hAnsi="宋体" w:eastAsia="宋体" w:cs="宋体"/>
          <w:sz w:val="24"/>
        </w:rPr>
        <w:t>　　2.承包人职责</w:t>
      </w:r>
    </w:p>
    <w:p w14:paraId="0D276D7A">
      <w:pPr>
        <w:spacing w:line="400" w:lineRule="exact"/>
        <w:rPr>
          <w:rFonts w:hint="eastAsia" w:ascii="宋体" w:hAnsi="宋体" w:eastAsia="宋体" w:cs="宋体"/>
          <w:sz w:val="24"/>
        </w:rPr>
      </w:pPr>
      <w:r>
        <w:rPr>
          <w:rFonts w:hint="eastAsia" w:ascii="宋体" w:hAnsi="宋体" w:eastAsia="宋体" w:cs="宋体"/>
          <w:sz w:val="24"/>
        </w:rPr>
        <w:t>　　（1）严格遵守《中华人民共和国安全生产法》、《建设工程安全生产管理条例》等国家有关安全生的法律法规、《公路水运工程安全生产监督管理办法》、《公路工程施工安全技术规程》和《公路筑养路机械操作规程》有关安全生产的规定。认真执行工程承包合同中的有关安全要求。</w:t>
      </w:r>
    </w:p>
    <w:p w14:paraId="1997BE49">
      <w:pPr>
        <w:spacing w:line="400" w:lineRule="exact"/>
        <w:rPr>
          <w:rFonts w:hint="eastAsia" w:ascii="宋体" w:hAnsi="宋体" w:eastAsia="宋体" w:cs="宋体"/>
          <w:sz w:val="24"/>
        </w:rPr>
      </w:pPr>
      <w:r>
        <w:rPr>
          <w:rFonts w:hint="eastAsia" w:ascii="宋体" w:hAnsi="宋体" w:eastAsia="宋体" w:cs="宋体"/>
          <w:sz w:val="24"/>
        </w:rPr>
        <w:t>　　（2）坚持“安全第一、预防为主”和“管生产必须管安全”的原则，加强安全生产宣传教育，增强全员安全生产意识，建立健全各项安全生产的管理机构和安全生产管理制度，配备专职及兼职安全检查人员，有组织有领导地开展安全生产活动。各级领导、工程技术人员、生产管理人员和具体操作人员，必须熟悉和遵守本条款的各项规定，做到生产与安全工作同时计划、布置、检查、总结和评比。</w:t>
      </w:r>
    </w:p>
    <w:p w14:paraId="2F3AA125">
      <w:pPr>
        <w:spacing w:line="400" w:lineRule="exact"/>
        <w:rPr>
          <w:rFonts w:hint="eastAsia" w:ascii="宋体" w:hAnsi="宋体" w:eastAsia="宋体" w:cs="宋体"/>
          <w:sz w:val="24"/>
        </w:rPr>
      </w:pPr>
      <w:r>
        <w:rPr>
          <w:rFonts w:hint="eastAsia" w:ascii="宋体" w:hAnsi="宋体" w:eastAsia="宋体" w:cs="宋体"/>
          <w:sz w:val="24"/>
        </w:rPr>
        <w:t>　　（3）建立健全安全生产责任制。从派往项目实施的项目经理到生产工人（包括临时雇请的民工）的安全生产管理系统必须做到纵向到底，一环不漏；各职能部门、人员的安全生产责任制做到横向到边，人人有责。项目经理是安全生产的第一责任人。现场设置的安全机构，应按《公路水运工程安全生产监督管理办法》规定的最低数量和资质条件配备专职安全生产管理人员，专职负责所有员工的安全和治安保卫工作及预防事故的发生。安全机构人员有权按有关规定发布指令，并采取保护性措施防止事故发生。</w:t>
      </w:r>
    </w:p>
    <w:p w14:paraId="79132910">
      <w:pPr>
        <w:spacing w:line="400" w:lineRule="exact"/>
        <w:rPr>
          <w:rFonts w:hint="eastAsia" w:ascii="宋体" w:hAnsi="宋体" w:eastAsia="宋体" w:cs="宋体"/>
          <w:sz w:val="24"/>
        </w:rPr>
      </w:pPr>
      <w:r>
        <w:rPr>
          <w:rFonts w:hint="eastAsia" w:ascii="宋体" w:hAnsi="宋体" w:eastAsia="宋体" w:cs="宋体"/>
          <w:sz w:val="24"/>
        </w:rPr>
        <w:t>　　（4）承包人在任何时候都应采用各种合理的预防措施，防止其员工发生任何违法、违禁、暴力或妨碍治安的行为。</w:t>
      </w:r>
    </w:p>
    <w:p w14:paraId="2968FA31">
      <w:pPr>
        <w:spacing w:line="400" w:lineRule="exact"/>
        <w:rPr>
          <w:rFonts w:hint="eastAsia" w:ascii="宋体" w:hAnsi="宋体" w:eastAsia="宋体" w:cs="宋体"/>
          <w:sz w:val="24"/>
        </w:rPr>
      </w:pPr>
      <w:r>
        <w:rPr>
          <w:rFonts w:hint="eastAsia" w:ascii="宋体" w:hAnsi="宋体" w:eastAsia="宋体" w:cs="宋体"/>
          <w:sz w:val="24"/>
        </w:rPr>
        <w:t>　　（5）承包人必须具有劳动安全管理部门颁发的安全生产考核合格证书，参加施工的人员，必须接受安全技术教育，熟知和遵守本工种的各项安全技术操作规程，定期进行安全技术考核，合格者方准上岗操作。对于从事电气、起重、建筑登高架设作业、锅炉、压力容器、焊接、机动车船艇驾驶、爆破、潜水、瓦斯检验等特殊工种的人员，经过专业培训，获得《安全操作合格证》后，方准持证上岗。施工现场如出现特种作业无证操作现象时，项目经理必须承担管理责任。</w:t>
      </w:r>
    </w:p>
    <w:p w14:paraId="73374DF3">
      <w:pPr>
        <w:spacing w:line="400" w:lineRule="exact"/>
        <w:rPr>
          <w:rFonts w:hint="eastAsia" w:ascii="宋体" w:hAnsi="宋体" w:eastAsia="宋体" w:cs="宋体"/>
          <w:sz w:val="24"/>
        </w:rPr>
      </w:pPr>
      <w:r>
        <w:rPr>
          <w:rFonts w:hint="eastAsia" w:ascii="宋体" w:hAnsi="宋体" w:eastAsia="宋体" w:cs="宋体"/>
          <w:sz w:val="24"/>
        </w:rPr>
        <w:t>　　（6）对于易燃易爆的材料除应专门妥善保管之外，还应配备有足够的消防设施，所有施工人员应熟悉消防设备的性能和使用方法；承包人不得将任何种类的爆炸物给予、易货或以其他方式转让给任何其他人，或允许、容忍上述同样行为。</w:t>
      </w:r>
    </w:p>
    <w:p w14:paraId="1373523B">
      <w:pPr>
        <w:spacing w:line="400" w:lineRule="exact"/>
        <w:rPr>
          <w:rFonts w:hint="eastAsia" w:ascii="宋体" w:hAnsi="宋体" w:eastAsia="宋体" w:cs="宋体"/>
          <w:sz w:val="24"/>
        </w:rPr>
      </w:pPr>
      <w:r>
        <w:rPr>
          <w:rFonts w:hint="eastAsia" w:ascii="宋体" w:hAnsi="宋体" w:eastAsia="宋体" w:cs="宋体"/>
          <w:sz w:val="24"/>
        </w:rPr>
        <w:t>　　（7）操作人员上岗，必须按规定穿戴防护用品。施工负责人和安全检查员应随时检查劳动防护用品的穿戴情况，不按规定穿戴防护用品的人员不得上岗。</w:t>
      </w:r>
    </w:p>
    <w:p w14:paraId="28EB1EC4">
      <w:pPr>
        <w:spacing w:line="400" w:lineRule="exact"/>
        <w:ind w:firstLine="480" w:firstLineChars="200"/>
        <w:rPr>
          <w:rFonts w:hint="eastAsia" w:ascii="宋体" w:hAnsi="宋体" w:eastAsia="宋体" w:cs="宋体"/>
          <w:sz w:val="24"/>
        </w:rPr>
      </w:pPr>
      <w:r>
        <w:rPr>
          <w:rFonts w:hint="eastAsia" w:ascii="宋体" w:hAnsi="宋体" w:eastAsia="宋体" w:cs="宋体"/>
          <w:sz w:val="24"/>
        </w:rPr>
        <w:t>（8）所有施工机具设备和高空作业的设备均应定期检查，并有安全员的签字记录，保证其经常处于完好状态；不合格的机具、设备和劳保护用品严禁使用。</w:t>
      </w:r>
    </w:p>
    <w:p w14:paraId="7EF99307">
      <w:pPr>
        <w:spacing w:line="400" w:lineRule="exact"/>
        <w:rPr>
          <w:rFonts w:hint="eastAsia" w:ascii="宋体" w:hAnsi="宋体" w:eastAsia="宋体" w:cs="宋体"/>
          <w:sz w:val="24"/>
        </w:rPr>
      </w:pPr>
      <w:r>
        <w:rPr>
          <w:rFonts w:hint="eastAsia" w:ascii="宋体" w:hAnsi="宋体" w:eastAsia="宋体" w:cs="宋体"/>
          <w:sz w:val="24"/>
        </w:rPr>
        <w:t>　　（9）施工中采用新技术、新工艺、新设备、新材料时，必须制定相应的安全技术措施，施工现场必须具有相关的安全标志牌。</w:t>
      </w:r>
    </w:p>
    <w:p w14:paraId="3EDA79FC">
      <w:pPr>
        <w:spacing w:line="400" w:lineRule="exact"/>
        <w:ind w:firstLine="420"/>
        <w:rPr>
          <w:rFonts w:hint="eastAsia" w:ascii="宋体" w:hAnsi="宋体" w:eastAsia="宋体" w:cs="宋体"/>
          <w:sz w:val="24"/>
        </w:rPr>
      </w:pPr>
      <w:r>
        <w:rPr>
          <w:rFonts w:hint="eastAsia" w:ascii="宋体" w:hAnsi="宋体" w:eastAsia="宋体" w:cs="宋体"/>
          <w:sz w:val="24"/>
        </w:rPr>
        <w:t>（10）承包人必须按照本工程项目特点，组织制定本工程实施中的生产安全事故应急救援预案；如果发生安全事故，应按照《国务院关于特大安全事故行政责任追究的规定》以及其它有关规定，及时上报有关部门，并坚持“四不放过”的原则，严肃处理相关责任人。</w:t>
      </w:r>
    </w:p>
    <w:p w14:paraId="365E1B36">
      <w:pPr>
        <w:spacing w:line="400" w:lineRule="exact"/>
        <w:ind w:firstLine="420"/>
        <w:rPr>
          <w:rFonts w:hint="eastAsia" w:ascii="宋体" w:hAnsi="宋体" w:eastAsia="宋体" w:cs="宋体"/>
          <w:sz w:val="24"/>
        </w:rPr>
      </w:pPr>
      <w:r>
        <w:rPr>
          <w:rFonts w:hint="eastAsia" w:ascii="宋体" w:hAnsi="宋体" w:eastAsia="宋体" w:cs="宋体"/>
          <w:sz w:val="24"/>
        </w:rPr>
        <w:t>（11）安全生产费用按照《公路水运工程安全生产监督管理办法》的相关规定使用和管理。</w:t>
      </w:r>
    </w:p>
    <w:p w14:paraId="1ECF4C3D">
      <w:pPr>
        <w:spacing w:line="400" w:lineRule="exact"/>
        <w:rPr>
          <w:rFonts w:hint="eastAsia" w:ascii="宋体" w:hAnsi="宋体" w:eastAsia="宋体" w:cs="宋体"/>
          <w:sz w:val="24"/>
        </w:rPr>
      </w:pPr>
      <w:r>
        <w:rPr>
          <w:rFonts w:hint="eastAsia" w:ascii="宋体" w:hAnsi="宋体" w:eastAsia="宋体" w:cs="宋体"/>
          <w:sz w:val="24"/>
        </w:rPr>
        <w:t>　　3.违约责任</w:t>
      </w:r>
    </w:p>
    <w:p w14:paraId="52B033C9">
      <w:pPr>
        <w:spacing w:line="400" w:lineRule="exact"/>
        <w:ind w:firstLine="420"/>
        <w:rPr>
          <w:rFonts w:hint="eastAsia" w:ascii="宋体" w:hAnsi="宋体" w:eastAsia="宋体" w:cs="宋体"/>
          <w:sz w:val="24"/>
        </w:rPr>
      </w:pPr>
      <w:r>
        <w:rPr>
          <w:rFonts w:hint="eastAsia" w:ascii="宋体" w:hAnsi="宋体" w:eastAsia="宋体" w:cs="宋体"/>
          <w:sz w:val="24"/>
        </w:rPr>
        <w:t>如因发包人或承包人违约造成安全事故，将依法追究责任。</w:t>
      </w:r>
    </w:p>
    <w:p w14:paraId="528307E5">
      <w:pPr>
        <w:spacing w:line="400" w:lineRule="exact"/>
        <w:ind w:firstLine="420"/>
        <w:rPr>
          <w:rFonts w:hint="eastAsia" w:ascii="宋体" w:hAnsi="宋体" w:eastAsia="宋体" w:cs="宋体"/>
          <w:sz w:val="24"/>
        </w:rPr>
      </w:pPr>
      <w:r>
        <w:rPr>
          <w:rFonts w:hint="eastAsia" w:ascii="宋体" w:hAnsi="宋体" w:eastAsia="宋体" w:cs="宋体"/>
          <w:sz w:val="24"/>
        </w:rPr>
        <w:t>4.本合同由双方法定代表人或其授权的代理人签署并加盖单位章后生效，全部工程竣工验收后失效。</w:t>
      </w:r>
    </w:p>
    <w:p w14:paraId="7321A3A2">
      <w:pPr>
        <w:spacing w:line="400" w:lineRule="exact"/>
        <w:ind w:firstLine="420"/>
        <w:rPr>
          <w:rFonts w:hint="eastAsia" w:ascii="宋体" w:hAnsi="宋体" w:eastAsia="宋体" w:cs="宋体"/>
          <w:sz w:val="24"/>
        </w:rPr>
      </w:pPr>
      <w:r>
        <w:rPr>
          <w:rFonts w:hint="eastAsia" w:ascii="宋体" w:hAnsi="宋体" w:eastAsia="宋体" w:cs="宋体"/>
          <w:sz w:val="24"/>
        </w:rPr>
        <w:t>5.本合同正本二份，副本</w:t>
      </w:r>
      <w:r>
        <w:rPr>
          <w:rFonts w:hint="eastAsia" w:ascii="宋体" w:hAnsi="宋体" w:eastAsia="宋体" w:cs="宋体"/>
          <w:sz w:val="24"/>
          <w:u w:val="single"/>
        </w:rPr>
        <w:t>　　</w:t>
      </w:r>
      <w:r>
        <w:rPr>
          <w:rFonts w:hint="eastAsia" w:ascii="宋体" w:hAnsi="宋体" w:eastAsia="宋体" w:cs="宋体"/>
          <w:sz w:val="24"/>
        </w:rPr>
        <w:t>份，合同双方各执正本一份，副本</w:t>
      </w:r>
      <w:r>
        <w:rPr>
          <w:rFonts w:hint="eastAsia" w:ascii="宋体" w:hAnsi="宋体" w:eastAsia="宋体" w:cs="宋体"/>
          <w:sz w:val="24"/>
          <w:u w:val="single"/>
        </w:rPr>
        <w:t>　　</w:t>
      </w:r>
      <w:r>
        <w:rPr>
          <w:rFonts w:hint="eastAsia" w:ascii="宋体" w:hAnsi="宋体" w:eastAsia="宋体" w:cs="宋体"/>
          <w:sz w:val="24"/>
        </w:rPr>
        <w:t>份，当正本与副本的内容不一致时，以正本为准。</w:t>
      </w:r>
    </w:p>
    <w:p w14:paraId="43113F0A">
      <w:pPr>
        <w:spacing w:line="400" w:lineRule="exact"/>
        <w:rPr>
          <w:rFonts w:hint="eastAsia" w:ascii="宋体" w:hAnsi="宋体" w:eastAsia="宋体" w:cs="宋体"/>
          <w:sz w:val="24"/>
        </w:rPr>
      </w:pPr>
      <w:r>
        <w:rPr>
          <w:rFonts w:hint="eastAsia" w:ascii="宋体" w:hAnsi="宋体" w:eastAsia="宋体" w:cs="宋体"/>
          <w:sz w:val="24"/>
        </w:rPr>
        <w:t>发包人：</w:t>
      </w:r>
      <w:r>
        <w:rPr>
          <w:rFonts w:hint="eastAsia" w:ascii="宋体" w:hAnsi="宋体" w:eastAsia="宋体" w:cs="宋体"/>
          <w:sz w:val="24"/>
          <w:u w:val="single"/>
        </w:rPr>
        <w:t xml:space="preserve">         　   </w:t>
      </w:r>
      <w:r>
        <w:rPr>
          <w:rFonts w:hint="eastAsia" w:ascii="宋体" w:hAnsi="宋体" w:eastAsia="宋体" w:cs="宋体"/>
          <w:sz w:val="24"/>
        </w:rPr>
        <w:t>（盖单位章）     承包人：</w:t>
      </w:r>
      <w:r>
        <w:rPr>
          <w:rFonts w:hint="eastAsia" w:ascii="宋体" w:hAnsi="宋体" w:eastAsia="宋体" w:cs="宋体"/>
          <w:sz w:val="24"/>
          <w:u w:val="single"/>
        </w:rPr>
        <w:t xml:space="preserve">            </w:t>
      </w:r>
      <w:r>
        <w:rPr>
          <w:rFonts w:hint="eastAsia" w:ascii="宋体" w:hAnsi="宋体" w:eastAsia="宋体" w:cs="宋体"/>
          <w:sz w:val="24"/>
        </w:rPr>
        <w:t>（盖单位章）</w:t>
      </w:r>
    </w:p>
    <w:p w14:paraId="1972D698">
      <w:pPr>
        <w:spacing w:line="400" w:lineRule="exact"/>
        <w:rPr>
          <w:rFonts w:hint="eastAsia" w:ascii="宋体" w:hAnsi="宋体" w:eastAsia="宋体" w:cs="宋体"/>
          <w:sz w:val="24"/>
        </w:rPr>
      </w:pPr>
      <w:r>
        <w:rPr>
          <w:rFonts w:hint="eastAsia" w:ascii="宋体" w:hAnsi="宋体" w:eastAsia="宋体" w:cs="宋体"/>
          <w:sz w:val="24"/>
        </w:rPr>
        <w:t>法定代表人或其委托代理人：</w:t>
      </w:r>
      <w:r>
        <w:rPr>
          <w:rFonts w:hint="eastAsia" w:ascii="宋体" w:hAnsi="宋体" w:eastAsia="宋体" w:cs="宋体"/>
          <w:sz w:val="24"/>
          <w:u w:val="single"/>
        </w:rPr>
        <w:t xml:space="preserve">    </w:t>
      </w:r>
      <w:r>
        <w:rPr>
          <w:rFonts w:hint="eastAsia" w:ascii="宋体" w:hAnsi="宋体" w:eastAsia="宋体" w:cs="宋体"/>
          <w:sz w:val="24"/>
        </w:rPr>
        <w:t xml:space="preserve">    法定代表人或其委托代理人：</w:t>
      </w:r>
      <w:r>
        <w:rPr>
          <w:rFonts w:hint="eastAsia" w:ascii="宋体" w:hAnsi="宋体" w:eastAsia="宋体" w:cs="宋体"/>
          <w:sz w:val="24"/>
          <w:u w:val="single"/>
        </w:rPr>
        <w:t xml:space="preserve">     </w:t>
      </w:r>
    </w:p>
    <w:p w14:paraId="30002D25">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 xml:space="preserve">月 </w:t>
      </w:r>
      <w:r>
        <w:rPr>
          <w:rFonts w:hint="eastAsia" w:ascii="宋体" w:hAnsi="宋体" w:eastAsia="宋体" w:cs="宋体"/>
          <w:sz w:val="24"/>
          <w:u w:val="single"/>
        </w:rPr>
        <w:t xml:space="preserve">     </w:t>
      </w:r>
      <w:r>
        <w:rPr>
          <w:rFonts w:hint="eastAsia" w:ascii="宋体" w:hAnsi="宋体" w:eastAsia="宋体" w:cs="宋体"/>
          <w:sz w:val="24"/>
        </w:rPr>
        <w:t xml:space="preserve">日         　　　　　 </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 xml:space="preserve">月 </w:t>
      </w:r>
      <w:r>
        <w:rPr>
          <w:rFonts w:hint="eastAsia" w:ascii="宋体" w:hAnsi="宋体" w:eastAsia="宋体" w:cs="宋体"/>
          <w:sz w:val="24"/>
          <w:u w:val="single"/>
        </w:rPr>
        <w:t xml:space="preserve">     </w:t>
      </w:r>
      <w:r>
        <w:rPr>
          <w:rFonts w:hint="eastAsia" w:ascii="宋体" w:hAnsi="宋体" w:eastAsia="宋体" w:cs="宋体"/>
          <w:sz w:val="24"/>
        </w:rPr>
        <w:t>日</w:t>
      </w:r>
    </w:p>
    <w:p w14:paraId="08DC5AF9">
      <w:bookmarkStart w:id="25" w:name="_GoBack"/>
      <w:bookmarkEnd w:id="25"/>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4B08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0"/>
    <w:pPr>
      <w:keepNext/>
      <w:keepLines/>
      <w:spacing w:line="416" w:lineRule="auto"/>
      <w:outlineLvl w:val="2"/>
    </w:pPr>
    <w:rPr>
      <w:b/>
      <w:bCs/>
      <w:sz w:val="32"/>
      <w:szCs w:val="32"/>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next w:val="1"/>
    <w:uiPriority w:val="0"/>
    <w:pPr>
      <w:spacing w:after="120" w:afterLines="0"/>
    </w:pPr>
    <w:rPr>
      <w:kern w:val="0"/>
      <w:sz w:val="20"/>
    </w:rPr>
  </w:style>
  <w:style w:type="paragraph" w:customStyle="1" w:styleId="6">
    <w:name w:val="样式 首行缩进:  2 字符"/>
    <w:basedOn w:val="1"/>
    <w:qFormat/>
    <w:uiPriority w:val="0"/>
    <w:pPr>
      <w:spacing w:line="400" w:lineRule="exact"/>
      <w:ind w:firstLine="200" w:firstLineChars="200"/>
    </w:pPr>
    <w:rPr>
      <w:rFonts w:ascii="Times New Roman" w:hAnsi="Times New Roman" w:cs="宋体"/>
      <w:sz w:val="24"/>
    </w:rPr>
  </w:style>
  <w:style w:type="paragraph" w:customStyle="1" w:styleId="7">
    <w:name w:val="样式 标题 3 + (中文) 黑体 小四 非加粗 段前: 7.8 磅 段后: 0 磅 行距: 固定值 20 磅"/>
    <w:basedOn w:val="2"/>
    <w:qFormat/>
    <w:uiPriority w:val="0"/>
    <w:pPr>
      <w:spacing w:line="400" w:lineRule="exact"/>
    </w:pPr>
    <w:rPr>
      <w:rFonts w:eastAsia="黑体" w:cs="宋体"/>
      <w:b w:val="0"/>
      <w:bCs w:val="0"/>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0</Words>
  <Characters>0</Characters>
  <Lines>0</Lines>
  <Paragraphs>0</Paragraphs>
  <TotalTime>0</TotalTime>
  <ScaleCrop>false</ScaleCrop>
  <LinksUpToDate>false</LinksUpToDate>
  <CharactersWithSpaces>0</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2026-01-28T08:12:21Z</dcterms:created>
  <dc:creator>Administrator</dc:creator>
  <cp:lastModifiedBy>么么哒现实不是想象中的</cp:lastModifiedBy>
  <dcterms:modified xsi:type="dcterms:W3CDTF">2026-01-28T08:12:29Z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KSOTemplateDocerSaveRecord">
    <vt:lpwstr>eyJoZGlkIjoiOTc5Mzc0YjNmNTMzZDU2YzEzNTQwOTBiMzNkYzJkZmQiLCJ1c2VySWQiOiIxMDQyNTI2NDQzIn0=</vt:lpwstr>
  </property>
  <property fmtid="{D5CDD505-2E9C-101B-9397-08002B2CF9AE}" pid="4" name="ICV">
    <vt:lpwstr>8FCF926EF21347BB8E3D39C862D30050_12</vt:lpwstr>
  </property>
</Properties>
</file>