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7BA54">
      <w:pPr>
        <w:pStyle w:val="2"/>
        <w:keepLines w:val="0"/>
        <w:pageBreakBefore w:val="0"/>
        <w:kinsoku/>
        <w:bidi w:val="0"/>
        <w:spacing w:line="560" w:lineRule="exact"/>
        <w:ind w:left="0" w:leftChars="0" w:right="0" w:rightChars="0"/>
        <w:outlineLvl w:val="0"/>
        <w:rPr>
          <w:rFonts w:hint="eastAsia" w:ascii="宋体" w:hAnsi="宋体" w:eastAsia="宋体" w:cs="宋体"/>
          <w:b/>
          <w:color w:val="auto"/>
          <w:szCs w:val="28"/>
          <w:highlight w:val="none"/>
          <w:lang w:val="zh-CN"/>
        </w:rPr>
      </w:pPr>
      <w:bookmarkStart w:id="0" w:name="_Toc28721"/>
      <w:bookmarkStart w:id="1" w:name="_Toc12925"/>
      <w:bookmarkStart w:id="49" w:name="_GoBack"/>
      <w:bookmarkEnd w:id="49"/>
      <w:r>
        <w:rPr>
          <w:rFonts w:hint="eastAsia" w:ascii="宋体" w:hAnsi="宋体" w:eastAsia="宋体" w:cs="宋体"/>
          <w:b/>
          <w:color w:val="auto"/>
          <w:szCs w:val="28"/>
          <w:highlight w:val="none"/>
          <w:lang w:val="en-US" w:eastAsia="zh-CN"/>
        </w:rPr>
        <w:t xml:space="preserve"> </w:t>
      </w:r>
      <w:r>
        <w:rPr>
          <w:rFonts w:hint="eastAsia" w:ascii="宋体" w:hAnsi="宋体" w:eastAsia="宋体" w:cs="宋体"/>
          <w:b/>
          <w:color w:val="auto"/>
          <w:szCs w:val="28"/>
          <w:highlight w:val="none"/>
          <w:lang w:val="zh-CN"/>
        </w:rPr>
        <w:t>合同协议书</w:t>
      </w:r>
      <w:bookmarkEnd w:id="0"/>
      <w:bookmarkEnd w:id="1"/>
      <w:bookmarkStart w:id="2" w:name="_Toc8194597"/>
      <w:bookmarkStart w:id="3" w:name="_Toc389553742"/>
    </w:p>
    <w:p w14:paraId="31687F0B">
      <w:pPr>
        <w:keepLines w:val="0"/>
        <w:pageBreakBefore w:val="0"/>
        <w:numPr>
          <w:ilvl w:val="0"/>
          <w:numId w:val="0"/>
        </w:numPr>
        <w:kinsoku/>
        <w:bidi w:val="0"/>
        <w:spacing w:line="560" w:lineRule="exact"/>
        <w:ind w:left="0" w:leftChars="0" w:right="0" w:rightChars="0"/>
        <w:rPr>
          <w:color w:val="auto"/>
          <w:highlight w:val="none"/>
        </w:rPr>
      </w:pPr>
    </w:p>
    <w:p w14:paraId="0D3332BD">
      <w:pPr>
        <w:keepLines w:val="0"/>
        <w:pageBreakBefore w:val="0"/>
        <w:kinsoku/>
        <w:bidi w:val="0"/>
        <w:spacing w:line="560" w:lineRule="exact"/>
        <w:ind w:left="0" w:leftChars="0" w:right="0" w:rightChars="0"/>
        <w:jc w:val="center"/>
        <w:rPr>
          <w:rFonts w:ascii="宋体" w:hAnsi="宋体" w:cs="宋体"/>
          <w:b/>
          <w:color w:val="auto"/>
          <w:sz w:val="24"/>
          <w:szCs w:val="24"/>
          <w:highlight w:val="none"/>
        </w:rPr>
      </w:pPr>
      <w:r>
        <w:rPr>
          <w:rFonts w:hint="eastAsia" w:ascii="宋体" w:hAnsi="宋体" w:cs="宋体"/>
          <w:b/>
          <w:color w:val="auto"/>
          <w:sz w:val="24"/>
          <w:szCs w:val="24"/>
          <w:highlight w:val="none"/>
        </w:rPr>
        <w:t>（合同模板仅供参考，具体以实际签订合同为准）</w:t>
      </w:r>
    </w:p>
    <w:p w14:paraId="1699D65D">
      <w:pPr>
        <w:pStyle w:val="6"/>
        <w:keepLines w:val="0"/>
        <w:pageBreakBefore w:val="0"/>
        <w:widowControl w:val="0"/>
        <w:kinsoku/>
        <w:wordWrap/>
        <w:overflowPunct/>
        <w:topLinePunct w:val="0"/>
        <w:bidi w:val="0"/>
        <w:spacing w:line="560" w:lineRule="exact"/>
        <w:ind w:left="0" w:leftChars="0" w:right="0" w:rightChars="0" w:firstLine="480" w:firstLineChars="200"/>
        <w:textAlignment w:val="auto"/>
        <w:rPr>
          <w:rFonts w:ascii="宋体" w:hAnsi="宋体"/>
          <w:color w:val="auto"/>
          <w:szCs w:val="24"/>
          <w:highlight w:val="none"/>
        </w:rPr>
      </w:pPr>
      <w:bookmarkStart w:id="4" w:name="_Toc497206183"/>
      <w:bookmarkStart w:id="5" w:name="_Toc497206293"/>
      <w:r>
        <w:rPr>
          <w:rFonts w:hint="eastAsia" w:ascii="宋体" w:hAnsi="宋体"/>
          <w:color w:val="auto"/>
          <w:szCs w:val="24"/>
          <w:highlight w:val="none"/>
        </w:rPr>
        <w:t>合同编号</w:t>
      </w:r>
      <w:r>
        <w:rPr>
          <w:rFonts w:hint="eastAsia" w:ascii="宋体" w:hAnsi="宋体"/>
          <w:b/>
          <w:color w:val="auto"/>
          <w:szCs w:val="24"/>
          <w:highlight w:val="none"/>
        </w:rPr>
        <w:t>:</w:t>
      </w:r>
      <w:r>
        <w:rPr>
          <w:rFonts w:hint="eastAsia" w:ascii="宋体" w:hAnsi="宋体"/>
          <w:color w:val="auto"/>
          <w:szCs w:val="24"/>
          <w:highlight w:val="none"/>
        </w:rPr>
        <w:t xml:space="preserve">                                         </w:t>
      </w:r>
    </w:p>
    <w:p w14:paraId="0D977EB0">
      <w:pPr>
        <w:pStyle w:val="6"/>
        <w:keepLines w:val="0"/>
        <w:pageBreakBefore w:val="0"/>
        <w:widowControl w:val="0"/>
        <w:kinsoku/>
        <w:wordWrap/>
        <w:overflowPunct/>
        <w:topLinePunct w:val="0"/>
        <w:bidi w:val="0"/>
        <w:spacing w:line="560" w:lineRule="exact"/>
        <w:ind w:left="0" w:leftChars="0" w:right="0" w:rightChars="0" w:firstLine="480" w:firstLineChars="200"/>
        <w:textAlignment w:val="auto"/>
        <w:rPr>
          <w:rFonts w:ascii="宋体" w:hAnsi="宋体"/>
          <w:color w:val="auto"/>
          <w:szCs w:val="24"/>
          <w:highlight w:val="none"/>
        </w:rPr>
      </w:pPr>
      <w:r>
        <w:rPr>
          <w:rFonts w:hint="eastAsia" w:ascii="宋体" w:hAnsi="宋体"/>
          <w:color w:val="auto"/>
          <w:szCs w:val="24"/>
          <w:highlight w:val="none"/>
        </w:rPr>
        <w:t>签订地点</w:t>
      </w:r>
      <w:r>
        <w:rPr>
          <w:rFonts w:hint="eastAsia" w:ascii="宋体" w:hAnsi="宋体"/>
          <w:b/>
          <w:color w:val="auto"/>
          <w:szCs w:val="24"/>
          <w:highlight w:val="none"/>
        </w:rPr>
        <w:t>:</w:t>
      </w:r>
      <w:r>
        <w:rPr>
          <w:rFonts w:hint="eastAsia" w:ascii="宋体" w:hAnsi="宋体"/>
          <w:color w:val="auto"/>
          <w:szCs w:val="24"/>
          <w:highlight w:val="none"/>
        </w:rPr>
        <w:t xml:space="preserve">          </w:t>
      </w:r>
    </w:p>
    <w:p w14:paraId="60F01671">
      <w:pPr>
        <w:pStyle w:val="6"/>
        <w:keepLines w:val="0"/>
        <w:pageBreakBefore w:val="0"/>
        <w:widowControl w:val="0"/>
        <w:kinsoku/>
        <w:wordWrap/>
        <w:overflowPunct/>
        <w:topLinePunct w:val="0"/>
        <w:bidi w:val="0"/>
        <w:spacing w:line="560" w:lineRule="exact"/>
        <w:ind w:left="0" w:leftChars="0" w:right="0" w:rightChars="0" w:firstLine="480" w:firstLineChars="200"/>
        <w:textAlignment w:val="auto"/>
        <w:rPr>
          <w:rFonts w:ascii="宋体" w:hAnsi="宋体"/>
          <w:color w:val="auto"/>
          <w:szCs w:val="24"/>
          <w:highlight w:val="none"/>
        </w:rPr>
      </w:pPr>
      <w:r>
        <w:rPr>
          <w:rFonts w:hint="eastAsia" w:ascii="宋体" w:hAnsi="宋体"/>
          <w:color w:val="auto"/>
          <w:szCs w:val="24"/>
          <w:highlight w:val="none"/>
        </w:rPr>
        <w:t>签订时间</w:t>
      </w:r>
      <w:r>
        <w:rPr>
          <w:rFonts w:hint="eastAsia" w:ascii="宋体" w:hAnsi="宋体"/>
          <w:b/>
          <w:color w:val="auto"/>
          <w:szCs w:val="24"/>
          <w:highlight w:val="none"/>
        </w:rPr>
        <w:t>:</w:t>
      </w:r>
      <w:r>
        <w:rPr>
          <w:rFonts w:hint="eastAsia" w:ascii="宋体" w:hAnsi="宋体"/>
          <w:color w:val="auto"/>
          <w:szCs w:val="24"/>
          <w:highlight w:val="none"/>
        </w:rPr>
        <w:t xml:space="preserve"> </w:t>
      </w:r>
    </w:p>
    <w:p w14:paraId="150CD798">
      <w:pPr>
        <w:pStyle w:val="6"/>
        <w:keepLines w:val="0"/>
        <w:pageBreakBefore w:val="0"/>
        <w:widowControl w:val="0"/>
        <w:kinsoku/>
        <w:wordWrap/>
        <w:overflowPunct/>
        <w:topLinePunct w:val="0"/>
        <w:bidi w:val="0"/>
        <w:spacing w:line="560" w:lineRule="exact"/>
        <w:ind w:left="0" w:leftChars="0" w:right="0" w:rightChars="0" w:firstLine="480" w:firstLineChars="200"/>
        <w:textAlignment w:val="auto"/>
        <w:rPr>
          <w:rFonts w:ascii="宋体" w:hAnsi="宋体"/>
          <w:color w:val="auto"/>
          <w:szCs w:val="24"/>
          <w:highlight w:val="none"/>
        </w:rPr>
      </w:pPr>
      <w:r>
        <w:rPr>
          <w:rFonts w:hint="eastAsia" w:ascii="宋体" w:hAnsi="宋体"/>
          <w:color w:val="auto"/>
          <w:szCs w:val="24"/>
          <w:highlight w:val="none"/>
        </w:rPr>
        <w:t>采购人（甲方）</w:t>
      </w:r>
      <w:r>
        <w:rPr>
          <w:rFonts w:hint="eastAsia" w:ascii="宋体" w:hAnsi="宋体"/>
          <w:b/>
          <w:color w:val="auto"/>
          <w:szCs w:val="24"/>
          <w:highlight w:val="none"/>
        </w:rPr>
        <w:t>:</w:t>
      </w:r>
      <w:r>
        <w:rPr>
          <w:rFonts w:hint="eastAsia" w:ascii="宋体" w:hAnsi="宋体"/>
          <w:color w:val="auto"/>
          <w:szCs w:val="24"/>
          <w:highlight w:val="none"/>
        </w:rPr>
        <w:t xml:space="preserve">                                          </w:t>
      </w:r>
    </w:p>
    <w:p w14:paraId="7D64663C">
      <w:pPr>
        <w:pStyle w:val="6"/>
        <w:keepLines w:val="0"/>
        <w:pageBreakBefore w:val="0"/>
        <w:widowControl w:val="0"/>
        <w:kinsoku/>
        <w:wordWrap/>
        <w:overflowPunct/>
        <w:topLinePunct w:val="0"/>
        <w:bidi w:val="0"/>
        <w:spacing w:line="560" w:lineRule="exact"/>
        <w:ind w:left="0" w:leftChars="0" w:right="0" w:rightChars="0" w:firstLine="480" w:firstLineChars="200"/>
        <w:textAlignment w:val="auto"/>
        <w:rPr>
          <w:rFonts w:ascii="宋体" w:hAnsi="宋体"/>
          <w:color w:val="auto"/>
          <w:szCs w:val="24"/>
          <w:highlight w:val="none"/>
        </w:rPr>
      </w:pPr>
      <w:r>
        <w:rPr>
          <w:rFonts w:hint="eastAsia" w:ascii="宋体" w:hAnsi="宋体"/>
          <w:color w:val="auto"/>
          <w:szCs w:val="24"/>
          <w:highlight w:val="none"/>
        </w:rPr>
        <w:t>供应商（乙方）</w:t>
      </w:r>
      <w:r>
        <w:rPr>
          <w:rFonts w:hint="eastAsia" w:ascii="宋体" w:hAnsi="宋体"/>
          <w:b/>
          <w:color w:val="auto"/>
          <w:szCs w:val="24"/>
          <w:highlight w:val="none"/>
        </w:rPr>
        <w:t>:</w:t>
      </w:r>
      <w:r>
        <w:rPr>
          <w:rFonts w:hint="eastAsia" w:ascii="宋体" w:hAnsi="宋体"/>
          <w:color w:val="auto"/>
          <w:szCs w:val="24"/>
          <w:highlight w:val="none"/>
        </w:rPr>
        <w:t xml:space="preserve">                              </w:t>
      </w:r>
    </w:p>
    <w:p w14:paraId="6D8181CE">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ascii="宋体" w:hAnsi="宋体" w:cs="宋体"/>
          <w:color w:val="auto"/>
          <w:sz w:val="24"/>
          <w:szCs w:val="24"/>
          <w:highlight w:val="none"/>
        </w:rPr>
      </w:pPr>
      <w:bookmarkStart w:id="6" w:name="_Toc30788"/>
      <w:bookmarkStart w:id="7" w:name="_Toc25482"/>
      <w:bookmarkStart w:id="8" w:name="_Toc28531"/>
      <w:r>
        <w:rPr>
          <w:rFonts w:hint="eastAsia" w:ascii="宋体" w:hAnsi="宋体" w:cs="宋体"/>
          <w:color w:val="auto"/>
          <w:sz w:val="24"/>
          <w:szCs w:val="24"/>
          <w:highlight w:val="none"/>
        </w:rPr>
        <w:t xml:space="preserve">根据《中华人民共和国政府采购法》及实施条例、《中华人民共和国民法典》和甲方采购项目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（采购项目编号：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）的竞争性谈判文件、成交供应商的谈判响应文件，为保证甲方采购项目的顺利实施，甲、乙双方同意签订本合同，并共同遵守如下条款：</w:t>
      </w:r>
      <w:bookmarkEnd w:id="6"/>
      <w:bookmarkEnd w:id="7"/>
      <w:bookmarkEnd w:id="8"/>
    </w:p>
    <w:p w14:paraId="3454D800">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textAlignment w:val="auto"/>
        <w:outlineLvl w:val="0"/>
        <w:rPr>
          <w:rFonts w:ascii="宋体" w:hAnsi="宋体" w:cs="宋体"/>
          <w:b/>
          <w:color w:val="auto"/>
          <w:sz w:val="24"/>
          <w:szCs w:val="24"/>
          <w:highlight w:val="none"/>
        </w:rPr>
      </w:pPr>
      <w:bookmarkStart w:id="9" w:name="_Toc30653"/>
      <w:bookmarkStart w:id="10" w:name="_Toc26352"/>
      <w:bookmarkStart w:id="11" w:name="_Toc805"/>
      <w:r>
        <w:rPr>
          <w:rFonts w:hint="eastAsia" w:ascii="宋体" w:hAnsi="宋体" w:cs="宋体"/>
          <w:b/>
          <w:color w:val="auto"/>
          <w:sz w:val="24"/>
          <w:szCs w:val="24"/>
          <w:highlight w:val="none"/>
          <w:lang w:val="en-US" w:eastAsia="zh-CN"/>
        </w:rPr>
        <w:t>1</w:t>
      </w:r>
      <w:r>
        <w:rPr>
          <w:rFonts w:hint="eastAsia" w:ascii="宋体" w:hAnsi="宋体" w:cs="宋体"/>
          <w:b/>
          <w:color w:val="auto"/>
          <w:sz w:val="24"/>
          <w:szCs w:val="24"/>
          <w:highlight w:val="none"/>
        </w:rPr>
        <w:t>、合同标的:</w:t>
      </w:r>
      <w:bookmarkEnd w:id="4"/>
      <w:bookmarkEnd w:id="5"/>
      <w:bookmarkEnd w:id="9"/>
      <w:bookmarkEnd w:id="10"/>
      <w:bookmarkEnd w:id="11"/>
    </w:p>
    <w:p w14:paraId="105EC68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28" w:firstLineChars="200"/>
        <w:textAlignment w:val="auto"/>
        <w:rPr>
          <w:rFonts w:hint="eastAsia" w:ascii="宋体" w:hAnsi="宋体" w:eastAsia="宋体" w:cs="宋体"/>
          <w:b/>
          <w:bCs/>
          <w:caps w:val="0"/>
          <w:snapToGrid w:val="0"/>
          <w:color w:val="auto"/>
          <w:spacing w:val="12"/>
          <w:kern w:val="0"/>
          <w:sz w:val="24"/>
          <w:szCs w:val="24"/>
          <w:highlight w:val="none"/>
          <w:lang w:val="en-US" w:eastAsia="zh-CN"/>
        </w:rPr>
      </w:pPr>
      <w:bookmarkStart w:id="12" w:name="_Toc27848"/>
      <w:bookmarkStart w:id="13" w:name="_Toc497206294"/>
      <w:bookmarkStart w:id="14" w:name="_Toc13114"/>
      <w:bookmarkStart w:id="15" w:name="_Toc497206184"/>
      <w:r>
        <w:rPr>
          <w:rFonts w:hint="eastAsia" w:ascii="宋体" w:hAnsi="宋体" w:eastAsia="宋体" w:cs="宋体"/>
          <w:b w:val="0"/>
          <w:bCs w:val="0"/>
          <w:caps w:val="0"/>
          <w:snapToGrid w:val="0"/>
          <w:color w:val="auto"/>
          <w:spacing w:val="12"/>
          <w:kern w:val="0"/>
          <w:sz w:val="24"/>
          <w:szCs w:val="24"/>
          <w:highlight w:val="none"/>
          <w:lang w:val="en-US" w:eastAsia="zh-CN"/>
        </w:rPr>
        <w:t>乙方向甲方提供下列货物（产品）:</w:t>
      </w:r>
      <w:r>
        <w:rPr>
          <w:rFonts w:hint="eastAsia" w:ascii="宋体" w:hAnsi="宋体" w:eastAsia="宋体" w:cs="宋体"/>
          <w:b w:val="0"/>
          <w:bCs w:val="0"/>
          <w:caps w:val="0"/>
          <w:snapToGrid w:val="0"/>
          <w:color w:val="auto"/>
          <w:spacing w:val="12"/>
          <w:kern w:val="0"/>
          <w:sz w:val="24"/>
          <w:szCs w:val="24"/>
          <w:highlight w:val="none"/>
          <w:lang w:val="en-US" w:eastAsia="zh-CN"/>
        </w:rPr>
        <w:tab/>
      </w:r>
    </w:p>
    <w:tbl>
      <w:tblPr>
        <w:tblStyle w:val="4"/>
        <w:tblW w:w="9936" w:type="dxa"/>
        <w:tblInd w:w="-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237"/>
        <w:gridCol w:w="1033"/>
        <w:gridCol w:w="1283"/>
        <w:gridCol w:w="1310"/>
        <w:gridCol w:w="1039"/>
        <w:gridCol w:w="873"/>
        <w:gridCol w:w="1069"/>
        <w:gridCol w:w="1174"/>
      </w:tblGrid>
      <w:tr w14:paraId="24F9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918" w:type="dxa"/>
            <w:tcBorders>
              <w:top w:val="single" w:color="auto" w:sz="4" w:space="0"/>
              <w:left w:val="single" w:color="auto" w:sz="4" w:space="0"/>
              <w:bottom w:val="single" w:color="auto" w:sz="4" w:space="0"/>
              <w:right w:val="single" w:color="auto" w:sz="4" w:space="0"/>
            </w:tcBorders>
            <w:noWrap w:val="0"/>
            <w:vAlign w:val="center"/>
          </w:tcPr>
          <w:p w14:paraId="0F24524E">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bookmarkStart w:id="16" w:name="_Hlk25834437"/>
            <w:r>
              <w:rPr>
                <w:rFonts w:hint="eastAsia" w:ascii="宋体" w:hAnsi="宋体" w:eastAsia="宋体" w:cs="宋体"/>
                <w:b/>
                <w:caps w:val="0"/>
                <w:color w:val="auto"/>
                <w:kern w:val="0"/>
                <w:sz w:val="24"/>
                <w:szCs w:val="24"/>
                <w:highlight w:val="none"/>
              </w:rPr>
              <w:t>序号</w:t>
            </w:r>
          </w:p>
        </w:tc>
        <w:tc>
          <w:tcPr>
            <w:tcW w:w="1237" w:type="dxa"/>
            <w:tcBorders>
              <w:top w:val="single" w:color="auto" w:sz="4" w:space="0"/>
              <w:left w:val="single" w:color="auto" w:sz="4" w:space="0"/>
              <w:bottom w:val="single" w:color="auto" w:sz="4" w:space="0"/>
              <w:right w:val="single" w:color="auto" w:sz="4" w:space="0"/>
            </w:tcBorders>
            <w:noWrap w:val="0"/>
            <w:vAlign w:val="center"/>
          </w:tcPr>
          <w:p w14:paraId="023D99F4">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产品名称</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47F4E2DF">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品牌</w:t>
            </w:r>
          </w:p>
        </w:tc>
        <w:tc>
          <w:tcPr>
            <w:tcW w:w="1283" w:type="dxa"/>
            <w:tcBorders>
              <w:top w:val="single" w:color="auto" w:sz="4" w:space="0"/>
              <w:left w:val="single" w:color="auto" w:sz="4" w:space="0"/>
              <w:bottom w:val="single" w:color="auto" w:sz="4" w:space="0"/>
              <w:right w:val="single" w:color="auto" w:sz="4" w:space="0"/>
            </w:tcBorders>
            <w:noWrap w:val="0"/>
            <w:vAlign w:val="center"/>
          </w:tcPr>
          <w:p w14:paraId="792D81A5">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lang w:val="en-US" w:eastAsia="zh-CN"/>
              </w:rPr>
              <w:t>规格</w:t>
            </w:r>
            <w:r>
              <w:rPr>
                <w:rFonts w:hint="eastAsia" w:ascii="宋体" w:hAnsi="宋体" w:eastAsia="宋体" w:cs="宋体"/>
                <w:b/>
                <w:caps w:val="0"/>
                <w:color w:val="auto"/>
                <w:kern w:val="0"/>
                <w:sz w:val="24"/>
                <w:szCs w:val="24"/>
                <w:highlight w:val="none"/>
              </w:rPr>
              <w:t>型号</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702D9319">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技术参数</w:t>
            </w:r>
          </w:p>
        </w:tc>
        <w:tc>
          <w:tcPr>
            <w:tcW w:w="1039" w:type="dxa"/>
            <w:tcBorders>
              <w:top w:val="single" w:color="auto" w:sz="4" w:space="0"/>
              <w:left w:val="single" w:color="auto" w:sz="4" w:space="0"/>
              <w:bottom w:val="single" w:color="auto" w:sz="4" w:space="0"/>
              <w:right w:val="single" w:color="auto" w:sz="4" w:space="0"/>
            </w:tcBorders>
            <w:noWrap w:val="0"/>
            <w:vAlign w:val="center"/>
          </w:tcPr>
          <w:p w14:paraId="7050131B">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数量</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C774444">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单位</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7695810D">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单价</w:t>
            </w:r>
          </w:p>
        </w:tc>
        <w:tc>
          <w:tcPr>
            <w:tcW w:w="1174" w:type="dxa"/>
            <w:tcBorders>
              <w:top w:val="single" w:color="auto" w:sz="4" w:space="0"/>
              <w:left w:val="single" w:color="auto" w:sz="4" w:space="0"/>
              <w:bottom w:val="single" w:color="auto" w:sz="4" w:space="0"/>
              <w:right w:val="single" w:color="auto" w:sz="4" w:space="0"/>
            </w:tcBorders>
            <w:noWrap w:val="0"/>
            <w:vAlign w:val="center"/>
          </w:tcPr>
          <w:p w14:paraId="39B11343">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总价</w:t>
            </w:r>
          </w:p>
        </w:tc>
      </w:tr>
      <w:tr w14:paraId="5A81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18" w:type="dxa"/>
            <w:tcBorders>
              <w:top w:val="single" w:color="auto" w:sz="4" w:space="0"/>
              <w:left w:val="single" w:color="auto" w:sz="4" w:space="0"/>
              <w:bottom w:val="single" w:color="auto" w:sz="4" w:space="0"/>
              <w:right w:val="single" w:color="auto" w:sz="4" w:space="0"/>
            </w:tcBorders>
            <w:noWrap w:val="0"/>
            <w:vAlign w:val="center"/>
          </w:tcPr>
          <w:p w14:paraId="27925C43">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r>
              <w:rPr>
                <w:rFonts w:hint="eastAsia" w:ascii="宋体" w:hAnsi="宋体" w:eastAsia="宋体" w:cs="宋体"/>
                <w:caps w:val="0"/>
                <w:color w:val="auto"/>
                <w:kern w:val="0"/>
                <w:sz w:val="24"/>
                <w:szCs w:val="24"/>
                <w:highlight w:val="none"/>
              </w:rPr>
              <w:t>1</w:t>
            </w:r>
          </w:p>
        </w:tc>
        <w:tc>
          <w:tcPr>
            <w:tcW w:w="1237" w:type="dxa"/>
            <w:tcBorders>
              <w:top w:val="single" w:color="auto" w:sz="4" w:space="0"/>
              <w:left w:val="single" w:color="auto" w:sz="4" w:space="0"/>
              <w:bottom w:val="single" w:color="auto" w:sz="4" w:space="0"/>
              <w:right w:val="single" w:color="auto" w:sz="4" w:space="0"/>
            </w:tcBorders>
            <w:noWrap w:val="0"/>
            <w:vAlign w:val="center"/>
          </w:tcPr>
          <w:p w14:paraId="0E5FFF37">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4522F58E">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283" w:type="dxa"/>
            <w:tcBorders>
              <w:top w:val="single" w:color="auto" w:sz="4" w:space="0"/>
              <w:left w:val="single" w:color="auto" w:sz="4" w:space="0"/>
              <w:bottom w:val="single" w:color="auto" w:sz="4" w:space="0"/>
              <w:right w:val="single" w:color="auto" w:sz="4" w:space="0"/>
            </w:tcBorders>
            <w:noWrap w:val="0"/>
            <w:vAlign w:val="center"/>
          </w:tcPr>
          <w:p w14:paraId="1EE3943B">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07105479">
            <w:pPr>
              <w:keepNext w:val="0"/>
              <w:keepLines w:val="0"/>
              <w:pageBreakBefore w:val="0"/>
              <w:widowControl/>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c>
          <w:tcPr>
            <w:tcW w:w="1039" w:type="dxa"/>
            <w:tcBorders>
              <w:top w:val="single" w:color="auto" w:sz="4" w:space="0"/>
              <w:left w:val="single" w:color="auto" w:sz="4" w:space="0"/>
              <w:bottom w:val="single" w:color="auto" w:sz="4" w:space="0"/>
              <w:right w:val="single" w:color="auto" w:sz="4" w:space="0"/>
            </w:tcBorders>
            <w:noWrap w:val="0"/>
            <w:vAlign w:val="center"/>
          </w:tcPr>
          <w:p w14:paraId="36622718">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3E66D6C8">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69" w:type="dxa"/>
            <w:tcBorders>
              <w:top w:val="single" w:color="auto" w:sz="4" w:space="0"/>
              <w:left w:val="single" w:color="auto" w:sz="4" w:space="0"/>
              <w:bottom w:val="single" w:color="auto" w:sz="4" w:space="0"/>
              <w:right w:val="single" w:color="auto" w:sz="4" w:space="0"/>
            </w:tcBorders>
            <w:noWrap w:val="0"/>
            <w:vAlign w:val="center"/>
          </w:tcPr>
          <w:p w14:paraId="54700837">
            <w:pPr>
              <w:keepNext w:val="0"/>
              <w:keepLines w:val="0"/>
              <w:pageBreakBefore w:val="0"/>
              <w:widowControl/>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174" w:type="dxa"/>
            <w:tcBorders>
              <w:top w:val="single" w:color="auto" w:sz="4" w:space="0"/>
              <w:left w:val="single" w:color="auto" w:sz="4" w:space="0"/>
              <w:bottom w:val="single" w:color="auto" w:sz="4" w:space="0"/>
              <w:right w:val="single" w:color="auto" w:sz="4" w:space="0"/>
            </w:tcBorders>
            <w:noWrap w:val="0"/>
            <w:vAlign w:val="center"/>
          </w:tcPr>
          <w:p w14:paraId="23826AE9">
            <w:pPr>
              <w:keepNext w:val="0"/>
              <w:keepLines w:val="0"/>
              <w:pageBreakBefore w:val="0"/>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r>
      <w:tr w14:paraId="2E685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18" w:type="dxa"/>
            <w:tcBorders>
              <w:top w:val="single" w:color="auto" w:sz="4" w:space="0"/>
              <w:left w:val="single" w:color="auto" w:sz="4" w:space="0"/>
              <w:bottom w:val="single" w:color="auto" w:sz="4" w:space="0"/>
              <w:right w:val="single" w:color="auto" w:sz="4" w:space="0"/>
            </w:tcBorders>
            <w:noWrap w:val="0"/>
            <w:vAlign w:val="center"/>
          </w:tcPr>
          <w:p w14:paraId="0F770048">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lang w:val="en-US" w:eastAsia="zh-CN"/>
              </w:rPr>
            </w:pPr>
            <w:r>
              <w:rPr>
                <w:rFonts w:hint="eastAsia" w:ascii="宋体" w:hAnsi="宋体" w:eastAsia="宋体" w:cs="宋体"/>
                <w:caps w:val="0"/>
                <w:color w:val="auto"/>
                <w:kern w:val="0"/>
                <w:sz w:val="24"/>
                <w:szCs w:val="24"/>
                <w:highlight w:val="none"/>
                <w:lang w:val="en-US" w:eastAsia="zh-CN"/>
              </w:rPr>
              <w:t>2</w:t>
            </w:r>
          </w:p>
        </w:tc>
        <w:tc>
          <w:tcPr>
            <w:tcW w:w="1237" w:type="dxa"/>
            <w:tcBorders>
              <w:top w:val="single" w:color="auto" w:sz="4" w:space="0"/>
              <w:left w:val="single" w:color="auto" w:sz="4" w:space="0"/>
              <w:bottom w:val="single" w:color="auto" w:sz="4" w:space="0"/>
              <w:right w:val="single" w:color="auto" w:sz="4" w:space="0"/>
            </w:tcBorders>
            <w:noWrap w:val="0"/>
            <w:vAlign w:val="center"/>
          </w:tcPr>
          <w:p w14:paraId="2B624D3E">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FD607C2">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283" w:type="dxa"/>
            <w:tcBorders>
              <w:top w:val="single" w:color="auto" w:sz="4" w:space="0"/>
              <w:left w:val="single" w:color="auto" w:sz="4" w:space="0"/>
              <w:bottom w:val="single" w:color="auto" w:sz="4" w:space="0"/>
              <w:right w:val="single" w:color="auto" w:sz="4" w:space="0"/>
            </w:tcBorders>
            <w:noWrap w:val="0"/>
            <w:vAlign w:val="center"/>
          </w:tcPr>
          <w:p w14:paraId="3C29BF9E">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3366DE78">
            <w:pPr>
              <w:keepNext w:val="0"/>
              <w:keepLines w:val="0"/>
              <w:pageBreakBefore w:val="0"/>
              <w:widowControl/>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c>
          <w:tcPr>
            <w:tcW w:w="1039" w:type="dxa"/>
            <w:tcBorders>
              <w:top w:val="single" w:color="auto" w:sz="4" w:space="0"/>
              <w:left w:val="single" w:color="auto" w:sz="4" w:space="0"/>
              <w:bottom w:val="single" w:color="auto" w:sz="4" w:space="0"/>
              <w:right w:val="single" w:color="auto" w:sz="4" w:space="0"/>
            </w:tcBorders>
            <w:noWrap w:val="0"/>
            <w:vAlign w:val="center"/>
          </w:tcPr>
          <w:p w14:paraId="06A4D8E1">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55FD7C11">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69" w:type="dxa"/>
            <w:tcBorders>
              <w:top w:val="single" w:color="auto" w:sz="4" w:space="0"/>
              <w:left w:val="single" w:color="auto" w:sz="4" w:space="0"/>
              <w:bottom w:val="single" w:color="auto" w:sz="4" w:space="0"/>
              <w:right w:val="single" w:color="auto" w:sz="4" w:space="0"/>
            </w:tcBorders>
            <w:noWrap w:val="0"/>
            <w:vAlign w:val="center"/>
          </w:tcPr>
          <w:p w14:paraId="14542DF7">
            <w:pPr>
              <w:keepNext w:val="0"/>
              <w:keepLines w:val="0"/>
              <w:pageBreakBefore w:val="0"/>
              <w:widowControl/>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174" w:type="dxa"/>
            <w:tcBorders>
              <w:top w:val="single" w:color="auto" w:sz="4" w:space="0"/>
              <w:left w:val="single" w:color="auto" w:sz="4" w:space="0"/>
              <w:bottom w:val="single" w:color="auto" w:sz="4" w:space="0"/>
              <w:right w:val="single" w:color="auto" w:sz="4" w:space="0"/>
            </w:tcBorders>
            <w:noWrap w:val="0"/>
            <w:vAlign w:val="center"/>
          </w:tcPr>
          <w:p w14:paraId="07F9D97E">
            <w:pPr>
              <w:keepNext w:val="0"/>
              <w:keepLines w:val="0"/>
              <w:pageBreakBefore w:val="0"/>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r>
      <w:tr w14:paraId="01E13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18" w:type="dxa"/>
            <w:tcBorders>
              <w:top w:val="single" w:color="auto" w:sz="4" w:space="0"/>
              <w:left w:val="single" w:color="auto" w:sz="4" w:space="0"/>
              <w:bottom w:val="single" w:color="auto" w:sz="4" w:space="0"/>
              <w:right w:val="single" w:color="auto" w:sz="4" w:space="0"/>
            </w:tcBorders>
            <w:noWrap w:val="0"/>
            <w:vAlign w:val="center"/>
          </w:tcPr>
          <w:p w14:paraId="7D336EBB">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lang w:val="en-US" w:eastAsia="zh-CN"/>
              </w:rPr>
            </w:pPr>
            <w:r>
              <w:rPr>
                <w:rFonts w:hint="eastAsia" w:ascii="宋体" w:hAnsi="宋体" w:eastAsia="宋体" w:cs="宋体"/>
                <w:caps w:val="0"/>
                <w:color w:val="auto"/>
                <w:kern w:val="0"/>
                <w:sz w:val="24"/>
                <w:szCs w:val="24"/>
                <w:highlight w:val="none"/>
                <w:lang w:val="en-US" w:eastAsia="zh-CN"/>
              </w:rPr>
              <w:t>...</w:t>
            </w:r>
          </w:p>
        </w:tc>
        <w:tc>
          <w:tcPr>
            <w:tcW w:w="1237" w:type="dxa"/>
            <w:tcBorders>
              <w:top w:val="single" w:color="auto" w:sz="4" w:space="0"/>
              <w:left w:val="single" w:color="auto" w:sz="4" w:space="0"/>
              <w:bottom w:val="single" w:color="auto" w:sz="4" w:space="0"/>
              <w:right w:val="single" w:color="auto" w:sz="4" w:space="0"/>
            </w:tcBorders>
            <w:noWrap w:val="0"/>
            <w:vAlign w:val="center"/>
          </w:tcPr>
          <w:p w14:paraId="564ECE8C">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09159A08">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283" w:type="dxa"/>
            <w:tcBorders>
              <w:top w:val="single" w:color="auto" w:sz="4" w:space="0"/>
              <w:left w:val="single" w:color="auto" w:sz="4" w:space="0"/>
              <w:bottom w:val="single" w:color="auto" w:sz="4" w:space="0"/>
              <w:right w:val="single" w:color="auto" w:sz="4" w:space="0"/>
            </w:tcBorders>
            <w:noWrap w:val="0"/>
            <w:vAlign w:val="center"/>
          </w:tcPr>
          <w:p w14:paraId="41053BAB">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1F8F3084">
            <w:pPr>
              <w:keepNext w:val="0"/>
              <w:keepLines w:val="0"/>
              <w:pageBreakBefore w:val="0"/>
              <w:widowControl/>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c>
          <w:tcPr>
            <w:tcW w:w="1039" w:type="dxa"/>
            <w:tcBorders>
              <w:top w:val="single" w:color="auto" w:sz="4" w:space="0"/>
              <w:left w:val="single" w:color="auto" w:sz="4" w:space="0"/>
              <w:bottom w:val="single" w:color="auto" w:sz="4" w:space="0"/>
              <w:right w:val="single" w:color="auto" w:sz="4" w:space="0"/>
            </w:tcBorders>
            <w:noWrap w:val="0"/>
            <w:vAlign w:val="center"/>
          </w:tcPr>
          <w:p w14:paraId="771733B4">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1AE4387F">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069" w:type="dxa"/>
            <w:tcBorders>
              <w:top w:val="single" w:color="auto" w:sz="4" w:space="0"/>
              <w:left w:val="single" w:color="auto" w:sz="4" w:space="0"/>
              <w:bottom w:val="single" w:color="auto" w:sz="4" w:space="0"/>
              <w:right w:val="single" w:color="auto" w:sz="4" w:space="0"/>
            </w:tcBorders>
            <w:noWrap w:val="0"/>
            <w:vAlign w:val="center"/>
          </w:tcPr>
          <w:p w14:paraId="0D29D181">
            <w:pPr>
              <w:keepNext w:val="0"/>
              <w:keepLines w:val="0"/>
              <w:pageBreakBefore w:val="0"/>
              <w:widowControl/>
              <w:kinsoku/>
              <w:bidi w:val="0"/>
              <w:spacing w:line="560" w:lineRule="exact"/>
              <w:ind w:left="0" w:leftChars="0" w:right="0" w:rightChars="0"/>
              <w:jc w:val="center"/>
              <w:textAlignment w:val="auto"/>
              <w:rPr>
                <w:rFonts w:hint="eastAsia" w:ascii="宋体" w:hAnsi="宋体" w:eastAsia="宋体" w:cs="宋体"/>
                <w:caps w:val="0"/>
                <w:color w:val="auto"/>
                <w:kern w:val="0"/>
                <w:sz w:val="24"/>
                <w:szCs w:val="24"/>
                <w:highlight w:val="none"/>
              </w:rPr>
            </w:pPr>
          </w:p>
        </w:tc>
        <w:tc>
          <w:tcPr>
            <w:tcW w:w="1174" w:type="dxa"/>
            <w:tcBorders>
              <w:top w:val="single" w:color="auto" w:sz="4" w:space="0"/>
              <w:left w:val="single" w:color="auto" w:sz="4" w:space="0"/>
              <w:bottom w:val="single" w:color="auto" w:sz="4" w:space="0"/>
              <w:right w:val="single" w:color="auto" w:sz="4" w:space="0"/>
            </w:tcBorders>
            <w:noWrap w:val="0"/>
            <w:vAlign w:val="center"/>
          </w:tcPr>
          <w:p w14:paraId="01759B7B">
            <w:pPr>
              <w:keepNext w:val="0"/>
              <w:keepLines w:val="0"/>
              <w:pageBreakBefore w:val="0"/>
              <w:kinsoku/>
              <w:bidi w:val="0"/>
              <w:spacing w:line="560" w:lineRule="exact"/>
              <w:ind w:left="0" w:leftChars="0" w:right="0" w:rightChars="0"/>
              <w:textAlignment w:val="auto"/>
              <w:rPr>
                <w:rFonts w:hint="eastAsia" w:ascii="宋体" w:hAnsi="宋体" w:eastAsia="宋体" w:cs="宋体"/>
                <w:caps w:val="0"/>
                <w:color w:val="auto"/>
                <w:kern w:val="0"/>
                <w:sz w:val="24"/>
                <w:szCs w:val="24"/>
                <w:highlight w:val="none"/>
              </w:rPr>
            </w:pPr>
          </w:p>
        </w:tc>
      </w:tr>
      <w:tr w14:paraId="355BF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3188" w:type="dxa"/>
            <w:gridSpan w:val="3"/>
            <w:tcBorders>
              <w:top w:val="single" w:color="auto" w:sz="4" w:space="0"/>
              <w:left w:val="single" w:color="auto" w:sz="4" w:space="0"/>
              <w:bottom w:val="single" w:color="auto" w:sz="4" w:space="0"/>
              <w:right w:val="single" w:color="auto" w:sz="4" w:space="0"/>
            </w:tcBorders>
            <w:noWrap w:val="0"/>
            <w:vAlign w:val="center"/>
          </w:tcPr>
          <w:p w14:paraId="732F2EDA">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合计金额大写</w:t>
            </w:r>
          </w:p>
        </w:tc>
        <w:tc>
          <w:tcPr>
            <w:tcW w:w="2593" w:type="dxa"/>
            <w:gridSpan w:val="2"/>
            <w:tcBorders>
              <w:top w:val="single" w:color="auto" w:sz="4" w:space="0"/>
              <w:left w:val="single" w:color="auto" w:sz="4" w:space="0"/>
              <w:bottom w:val="single" w:color="auto" w:sz="4" w:space="0"/>
              <w:right w:val="single" w:color="auto" w:sz="4" w:space="0"/>
            </w:tcBorders>
            <w:noWrap w:val="0"/>
            <w:vAlign w:val="center"/>
          </w:tcPr>
          <w:p w14:paraId="48BFCC8F">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p>
        </w:tc>
        <w:tc>
          <w:tcPr>
            <w:tcW w:w="1912" w:type="dxa"/>
            <w:gridSpan w:val="2"/>
            <w:tcBorders>
              <w:top w:val="single" w:color="auto" w:sz="4" w:space="0"/>
              <w:left w:val="single" w:color="auto" w:sz="4" w:space="0"/>
              <w:bottom w:val="single" w:color="auto" w:sz="4" w:space="0"/>
              <w:right w:val="single" w:color="auto" w:sz="4" w:space="0"/>
            </w:tcBorders>
            <w:noWrap w:val="0"/>
            <w:vAlign w:val="center"/>
          </w:tcPr>
          <w:p w14:paraId="6B9CB2D3">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r>
              <w:rPr>
                <w:rFonts w:hint="eastAsia" w:ascii="宋体" w:hAnsi="宋体" w:eastAsia="宋体" w:cs="宋体"/>
                <w:b/>
                <w:caps w:val="0"/>
                <w:color w:val="auto"/>
                <w:kern w:val="0"/>
                <w:sz w:val="24"/>
                <w:szCs w:val="24"/>
                <w:highlight w:val="none"/>
              </w:rPr>
              <w:t>小写：</w:t>
            </w:r>
          </w:p>
        </w:tc>
        <w:tc>
          <w:tcPr>
            <w:tcW w:w="2243" w:type="dxa"/>
            <w:gridSpan w:val="2"/>
            <w:tcBorders>
              <w:top w:val="single" w:color="auto" w:sz="4" w:space="0"/>
              <w:left w:val="single" w:color="auto" w:sz="4" w:space="0"/>
              <w:bottom w:val="single" w:color="auto" w:sz="4" w:space="0"/>
              <w:right w:val="single" w:color="auto" w:sz="4" w:space="0"/>
            </w:tcBorders>
            <w:noWrap w:val="0"/>
            <w:vAlign w:val="center"/>
          </w:tcPr>
          <w:p w14:paraId="38EFC4B6">
            <w:pPr>
              <w:keepNext w:val="0"/>
              <w:keepLines w:val="0"/>
              <w:pageBreakBefore w:val="0"/>
              <w:kinsoku/>
              <w:bidi w:val="0"/>
              <w:spacing w:line="560" w:lineRule="exact"/>
              <w:ind w:left="0" w:leftChars="0" w:right="0" w:rightChars="0"/>
              <w:jc w:val="center"/>
              <w:textAlignment w:val="auto"/>
              <w:rPr>
                <w:rFonts w:hint="eastAsia" w:ascii="宋体" w:hAnsi="宋体" w:eastAsia="宋体" w:cs="宋体"/>
                <w:b/>
                <w:caps w:val="0"/>
                <w:color w:val="auto"/>
                <w:kern w:val="0"/>
                <w:sz w:val="24"/>
                <w:szCs w:val="24"/>
                <w:highlight w:val="none"/>
              </w:rPr>
            </w:pPr>
          </w:p>
        </w:tc>
      </w:tr>
      <w:bookmarkEnd w:id="16"/>
    </w:tbl>
    <w:p w14:paraId="2EDFAFBE">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textAlignment w:val="auto"/>
        <w:outlineLvl w:val="0"/>
        <w:rPr>
          <w:rFonts w:ascii="宋体" w:hAnsi="宋体" w:cs="宋体"/>
          <w:b/>
          <w:color w:val="auto"/>
          <w:sz w:val="24"/>
          <w:szCs w:val="24"/>
          <w:highlight w:val="none"/>
        </w:rPr>
      </w:pPr>
      <w:bookmarkStart w:id="17" w:name="_Toc30529"/>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、合同价款：</w:t>
      </w:r>
      <w:bookmarkEnd w:id="12"/>
      <w:bookmarkEnd w:id="13"/>
      <w:bookmarkEnd w:id="14"/>
      <w:bookmarkEnd w:id="15"/>
      <w:bookmarkEnd w:id="17"/>
    </w:p>
    <w:p w14:paraId="525B7934">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1、合同总价：</w:t>
      </w:r>
      <w:r>
        <w:rPr>
          <w:rFonts w:hint="eastAsia" w:ascii="宋体" w:hAnsi="宋体" w:cs="宋体"/>
          <w:color w:val="auto"/>
          <w:sz w:val="24"/>
          <w:szCs w:val="24"/>
          <w:highlight w:val="none"/>
          <w:u w:val="single"/>
        </w:rPr>
        <w:t xml:space="preserve">          </w:t>
      </w:r>
    </w:p>
    <w:p w14:paraId="10690F1B">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2、合同总价</w:t>
      </w:r>
      <w:r>
        <w:rPr>
          <w:rFonts w:hint="eastAsia" w:ascii="宋体" w:hAnsi="宋体" w:eastAsia="宋体" w:cs="宋体"/>
          <w:b w:val="0"/>
          <w:bCs/>
          <w:color w:val="auto"/>
          <w:sz w:val="24"/>
          <w:szCs w:val="24"/>
          <w:highlight w:val="none"/>
          <w:lang w:val="en-US" w:eastAsia="zh-CN"/>
        </w:rPr>
        <w:t>包括但不限于产品费、货物运达指定地点的运杂费（含运输费、保险费等）、安装调试费、检测验收费和其他费用等其他一切相关费用</w:t>
      </w:r>
      <w:r>
        <w:rPr>
          <w:rFonts w:hint="eastAsia" w:ascii="宋体" w:hAnsi="宋体" w:cs="宋体"/>
          <w:bCs/>
          <w:sz w:val="24"/>
          <w:szCs w:val="24"/>
        </w:rPr>
        <w:t>。</w:t>
      </w:r>
      <w:r>
        <w:rPr>
          <w:rFonts w:hint="eastAsia" w:ascii="宋体" w:hAnsi="宋体" w:cs="宋体"/>
          <w:color w:val="auto"/>
          <w:sz w:val="24"/>
          <w:szCs w:val="24"/>
          <w:highlight w:val="none"/>
        </w:rPr>
        <w:t>甲方无须另向乙方支付本合同约定合同总价之外的其他任何费用。</w:t>
      </w:r>
    </w:p>
    <w:p w14:paraId="3858D72A">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2.3</w:t>
      </w:r>
      <w:r>
        <w:rPr>
          <w:rFonts w:hint="eastAsia" w:ascii="宋体" w:hAnsi="宋体" w:cs="宋体"/>
          <w:color w:val="auto"/>
          <w:sz w:val="24"/>
          <w:szCs w:val="24"/>
          <w:highlight w:val="none"/>
        </w:rPr>
        <w:t>、本合同执行期间合同</w:t>
      </w:r>
      <w:r>
        <w:rPr>
          <w:rFonts w:hint="eastAsia" w:ascii="宋体" w:hAnsi="宋体" w:cs="宋体"/>
          <w:color w:val="auto"/>
          <w:sz w:val="24"/>
          <w:szCs w:val="24"/>
          <w:highlight w:val="none"/>
          <w:lang w:val="en-US" w:eastAsia="zh-CN"/>
        </w:rPr>
        <w:t>单价固定</w:t>
      </w:r>
      <w:r>
        <w:rPr>
          <w:rFonts w:hint="eastAsia" w:ascii="宋体" w:hAnsi="宋体" w:cs="宋体"/>
          <w:color w:val="auto"/>
          <w:sz w:val="24"/>
          <w:szCs w:val="24"/>
          <w:highlight w:val="none"/>
        </w:rPr>
        <w:t>不变，</w:t>
      </w:r>
      <w:r>
        <w:rPr>
          <w:rFonts w:hint="eastAsia" w:ascii="宋体" w:hAnsi="宋体" w:cs="宋体"/>
          <w:bCs/>
          <w:sz w:val="24"/>
          <w:szCs w:val="24"/>
        </w:rPr>
        <w:t>系固定不变价格，不受市场价格变化因素的影响，采购人不再为此增加任何费用。</w:t>
      </w:r>
    </w:p>
    <w:p w14:paraId="3D6A923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3</w:t>
      </w:r>
      <w:r>
        <w:rPr>
          <w:rFonts w:hint="eastAsia" w:ascii="宋体" w:hAnsi="宋体" w:cs="宋体"/>
          <w:b/>
          <w:color w:val="auto"/>
          <w:sz w:val="24"/>
          <w:szCs w:val="24"/>
          <w:highlight w:val="none"/>
        </w:rPr>
        <w:t>、款项结算</w:t>
      </w:r>
    </w:p>
    <w:p w14:paraId="77AB90B3">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bookmarkStart w:id="18" w:name="_Toc14025"/>
      <w:bookmarkStart w:id="19" w:name="_Toc497206297"/>
      <w:bookmarkStart w:id="20" w:name="_Toc497206187"/>
      <w:bookmarkStart w:id="21" w:name="_Toc18747"/>
      <w:r>
        <w:rPr>
          <w:rFonts w:hint="eastAsia" w:ascii="宋体" w:hAnsi="宋体" w:cs="宋体"/>
          <w:color w:val="auto"/>
          <w:sz w:val="24"/>
          <w:szCs w:val="24"/>
          <w:highlight w:val="none"/>
          <w:lang w:val="en-US" w:eastAsia="zh-CN"/>
        </w:rPr>
        <w:t>付款方式：待所有货物安装调试完成并验收合格后无任何质量问题无争议索赔的情况下不计息一次付清。</w:t>
      </w:r>
    </w:p>
    <w:p w14:paraId="0370D41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3.2、结算方式：甲方与乙方直接结算，发票直开甲方。</w:t>
      </w:r>
    </w:p>
    <w:p w14:paraId="06B27230">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3.3、支付形式：银行转账。</w:t>
      </w:r>
    </w:p>
    <w:p w14:paraId="3E0145C8">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4、</w:t>
      </w:r>
      <w:bookmarkEnd w:id="18"/>
      <w:bookmarkEnd w:id="19"/>
      <w:bookmarkEnd w:id="20"/>
      <w:bookmarkEnd w:id="21"/>
      <w:bookmarkStart w:id="22" w:name="_Toc24786"/>
      <w:bookmarkStart w:id="23" w:name="_Toc497206189"/>
      <w:bookmarkStart w:id="24" w:name="_Toc497206299"/>
      <w:bookmarkStart w:id="25" w:name="_Toc6728"/>
      <w:r>
        <w:rPr>
          <w:rFonts w:hint="eastAsia" w:ascii="宋体" w:hAnsi="宋体" w:cs="宋体"/>
          <w:b/>
          <w:color w:val="auto"/>
          <w:sz w:val="24"/>
          <w:szCs w:val="24"/>
          <w:highlight w:val="none"/>
          <w:lang w:val="en-US" w:eastAsia="zh-CN"/>
        </w:rPr>
        <w:t>交货期、实施地点</w:t>
      </w:r>
    </w:p>
    <w:p w14:paraId="7BDBD31C">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4.1、交货期：</w:t>
      </w:r>
    </w:p>
    <w:p w14:paraId="0211F2DB">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4.2、实施地点：甲方指定地点。</w:t>
      </w:r>
    </w:p>
    <w:p w14:paraId="46C92EA5">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hint="eastAsia" w:ascii="宋体" w:hAnsi="宋体" w:cs="宋体"/>
          <w:b/>
          <w:bCs/>
          <w:color w:val="auto"/>
          <w:sz w:val="24"/>
          <w:szCs w:val="24"/>
          <w:highlight w:val="none"/>
          <w:lang w:val="zh-CN" w:eastAsia="zh-CN"/>
        </w:rPr>
      </w:pP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lang w:val="zh-CN" w:eastAsia="zh-CN"/>
        </w:rPr>
        <w:t>、</w:t>
      </w:r>
      <w:r>
        <w:rPr>
          <w:rFonts w:hint="eastAsia" w:ascii="宋体" w:hAnsi="宋体" w:cs="宋体"/>
          <w:b/>
          <w:bCs/>
          <w:color w:val="auto"/>
          <w:sz w:val="24"/>
          <w:szCs w:val="24"/>
          <w:highlight w:val="none"/>
          <w:lang w:val="en-US" w:eastAsia="zh-CN"/>
        </w:rPr>
        <w:t>质量</w:t>
      </w:r>
      <w:r>
        <w:rPr>
          <w:rFonts w:hint="eastAsia" w:ascii="宋体" w:hAnsi="宋体" w:cs="宋体"/>
          <w:b/>
          <w:bCs/>
          <w:color w:val="auto"/>
          <w:sz w:val="24"/>
          <w:szCs w:val="24"/>
          <w:highlight w:val="none"/>
          <w:lang w:val="zh-CN" w:eastAsia="zh-CN"/>
        </w:rPr>
        <w:t>保证</w:t>
      </w:r>
      <w:bookmarkEnd w:id="22"/>
      <w:bookmarkEnd w:id="23"/>
      <w:bookmarkEnd w:id="24"/>
      <w:bookmarkEnd w:id="25"/>
    </w:p>
    <w:p w14:paraId="305B2C08">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26" w:name="_Toc8341"/>
      <w:r>
        <w:rPr>
          <w:rFonts w:hint="eastAsia" w:ascii="宋体" w:hAnsi="宋体" w:cs="宋体"/>
          <w:b w:val="0"/>
          <w:bCs/>
          <w:color w:val="auto"/>
          <w:sz w:val="24"/>
          <w:szCs w:val="24"/>
          <w:highlight w:val="none"/>
          <w:lang w:val="en-US" w:eastAsia="zh-CN"/>
        </w:rPr>
        <w:t>5.1、乙方保证所供产品均按国内通行的现行标准及相应的技术规范，以及质量、安全、环保标准和要求执行，这些标准和技术规范应为协议签订日为止最新公布发行的标准和技术规范。</w:t>
      </w:r>
      <w:bookmarkEnd w:id="26"/>
    </w:p>
    <w:p w14:paraId="7EC23982">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27" w:name="_Toc22606"/>
      <w:r>
        <w:rPr>
          <w:rFonts w:hint="eastAsia" w:ascii="宋体" w:hAnsi="宋体" w:cs="宋体"/>
          <w:b w:val="0"/>
          <w:bCs/>
          <w:color w:val="auto"/>
          <w:sz w:val="24"/>
          <w:szCs w:val="24"/>
          <w:highlight w:val="none"/>
          <w:lang w:val="en-US" w:eastAsia="zh-CN"/>
        </w:rPr>
        <w:t>5.2、关于产品质量，乙方所供货物必须执行下列条款：</w:t>
      </w:r>
      <w:bookmarkEnd w:id="27"/>
    </w:p>
    <w:p w14:paraId="07CC5C31">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28" w:name="_Toc2039"/>
      <w:r>
        <w:rPr>
          <w:rFonts w:hint="eastAsia" w:ascii="宋体" w:hAnsi="宋体" w:cs="宋体"/>
          <w:b w:val="0"/>
          <w:bCs/>
          <w:color w:val="auto"/>
          <w:sz w:val="24"/>
          <w:szCs w:val="24"/>
          <w:highlight w:val="none"/>
          <w:lang w:val="en-US" w:eastAsia="zh-CN"/>
        </w:rPr>
        <w:t>（1）保证技术指标先进、质量性能可靠、进货渠道正规，配置合理，全面满足要求。</w:t>
      </w:r>
      <w:bookmarkEnd w:id="28"/>
    </w:p>
    <w:p w14:paraId="6BB58E77">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29" w:name="_Toc24237"/>
      <w:r>
        <w:rPr>
          <w:rFonts w:hint="eastAsia" w:ascii="宋体" w:hAnsi="宋体" w:cs="宋体"/>
          <w:b w:val="0"/>
          <w:bCs/>
          <w:color w:val="auto"/>
          <w:sz w:val="24"/>
          <w:szCs w:val="24"/>
          <w:highlight w:val="none"/>
          <w:lang w:val="en-US" w:eastAsia="zh-CN"/>
        </w:rPr>
        <w:t>（2）符合国家有关规范要求，确保达到最佳运行状态。</w:t>
      </w:r>
      <w:bookmarkEnd w:id="29"/>
    </w:p>
    <w:p w14:paraId="02522937">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30" w:name="_Toc10982"/>
      <w:r>
        <w:rPr>
          <w:rFonts w:hint="eastAsia" w:ascii="宋体" w:hAnsi="宋体" w:cs="宋体"/>
          <w:b w:val="0"/>
          <w:bCs/>
          <w:color w:val="auto"/>
          <w:sz w:val="24"/>
          <w:szCs w:val="24"/>
          <w:highlight w:val="none"/>
          <w:lang w:val="en-US" w:eastAsia="zh-CN"/>
        </w:rPr>
        <w:t>（3）具有良好的外观，适合安装场所的使用。</w:t>
      </w:r>
      <w:bookmarkEnd w:id="30"/>
    </w:p>
    <w:p w14:paraId="2DF56EEC">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cs="宋体"/>
          <w:b w:val="0"/>
          <w:bCs/>
          <w:color w:val="auto"/>
          <w:sz w:val="24"/>
          <w:szCs w:val="24"/>
          <w:highlight w:val="none"/>
          <w:lang w:val="en-US" w:eastAsia="zh-CN"/>
        </w:rPr>
      </w:pPr>
      <w:bookmarkStart w:id="31" w:name="_Toc4314"/>
      <w:r>
        <w:rPr>
          <w:rFonts w:hint="eastAsia" w:ascii="宋体" w:hAnsi="宋体" w:cs="宋体"/>
          <w:b w:val="0"/>
          <w:bCs/>
          <w:color w:val="auto"/>
          <w:sz w:val="24"/>
          <w:szCs w:val="24"/>
          <w:highlight w:val="none"/>
          <w:lang w:val="en-US" w:eastAsia="zh-CN"/>
        </w:rPr>
        <w:t>5.3、乙方所供产品因侵权（包括但不限于侵犯知识产权以及因产品质量问题导致甲乙双方或第三方人身、财产遭受损失）而产生的一切后果由乙方自行负责，由此给甲方造成任何损失的，乙方承担赔偿责任。</w:t>
      </w:r>
      <w:bookmarkEnd w:id="31"/>
    </w:p>
    <w:p w14:paraId="68C78DC8">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textAlignment w:val="auto"/>
        <w:outlineLvl w:val="0"/>
        <w:rPr>
          <w:rFonts w:hint="eastAsia" w:ascii="宋体" w:hAnsi="宋体" w:cs="宋体"/>
          <w:b/>
          <w:color w:val="auto"/>
          <w:sz w:val="24"/>
          <w:szCs w:val="24"/>
          <w:highlight w:val="none"/>
          <w:lang w:val="en-US" w:eastAsia="zh-CN"/>
        </w:rPr>
      </w:pPr>
      <w:bookmarkStart w:id="32" w:name="_Toc3090"/>
      <w:r>
        <w:rPr>
          <w:rFonts w:hint="eastAsia" w:ascii="宋体" w:hAnsi="宋体" w:cs="宋体"/>
          <w:b/>
          <w:color w:val="auto"/>
          <w:sz w:val="24"/>
          <w:szCs w:val="24"/>
          <w:highlight w:val="none"/>
          <w:lang w:val="en-US" w:eastAsia="zh-CN"/>
        </w:rPr>
        <w:t>6、包装、运输及安装调试要求</w:t>
      </w:r>
      <w:bookmarkEnd w:id="32"/>
    </w:p>
    <w:p w14:paraId="28DCE1DC">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eastAsia="宋体" w:cs="宋体"/>
          <w:b w:val="0"/>
          <w:bCs/>
          <w:color w:val="auto"/>
          <w:sz w:val="24"/>
          <w:szCs w:val="24"/>
          <w:highlight w:val="none"/>
          <w:lang w:val="en-US" w:eastAsia="zh-CN"/>
        </w:rPr>
      </w:pPr>
      <w:bookmarkStart w:id="33" w:name="_Toc11357"/>
      <w:r>
        <w:rPr>
          <w:rFonts w:hint="eastAsia" w:ascii="宋体" w:hAnsi="宋体" w:eastAsia="宋体" w:cs="宋体"/>
          <w:b w:val="0"/>
          <w:bCs/>
          <w:color w:val="auto"/>
          <w:sz w:val="24"/>
          <w:szCs w:val="24"/>
          <w:highlight w:val="none"/>
          <w:lang w:val="en-US" w:eastAsia="zh-CN"/>
        </w:rPr>
        <w:t>6.1、运输由乙方负责，运杂费已包含在合同总价内，包括从产品供应地点运送至交付地点所含的人工费、运输费、装卸费、仓储费、保险费等。</w:t>
      </w:r>
      <w:bookmarkEnd w:id="33"/>
    </w:p>
    <w:p w14:paraId="6F3FEED0">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eastAsia="宋体" w:cs="宋体"/>
          <w:b w:val="0"/>
          <w:bCs/>
          <w:color w:val="auto"/>
          <w:sz w:val="24"/>
          <w:szCs w:val="24"/>
          <w:highlight w:val="none"/>
          <w:lang w:val="en-US" w:eastAsia="zh-CN"/>
        </w:rPr>
      </w:pPr>
      <w:bookmarkStart w:id="34" w:name="_Toc2581"/>
      <w:r>
        <w:rPr>
          <w:rFonts w:hint="eastAsia" w:ascii="宋体" w:hAnsi="宋体" w:eastAsia="宋体" w:cs="宋体"/>
          <w:b w:val="0"/>
          <w:bCs/>
          <w:color w:val="auto"/>
          <w:sz w:val="24"/>
          <w:szCs w:val="24"/>
          <w:highlight w:val="none"/>
          <w:lang w:val="en-US" w:eastAsia="zh-CN"/>
        </w:rPr>
        <w:t>6.2、运输方式由乙方自行选择，但必须保证按期交付，因运输产生的风险及质量问题由乙方承担。</w:t>
      </w:r>
      <w:bookmarkEnd w:id="34"/>
    </w:p>
    <w:p w14:paraId="38AD6060">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eastAsia="宋体" w:cs="宋体"/>
          <w:b w:val="0"/>
          <w:bCs/>
          <w:color w:val="auto"/>
          <w:sz w:val="24"/>
          <w:szCs w:val="24"/>
          <w:highlight w:val="none"/>
          <w:lang w:val="en-US" w:eastAsia="zh-CN"/>
        </w:rPr>
      </w:pPr>
      <w:bookmarkStart w:id="35" w:name="_Toc6099"/>
      <w:r>
        <w:rPr>
          <w:rFonts w:hint="eastAsia" w:ascii="宋体" w:hAnsi="宋体" w:eastAsia="宋体" w:cs="宋体"/>
          <w:b w:val="0"/>
          <w:bCs/>
          <w:color w:val="auto"/>
          <w:sz w:val="24"/>
          <w:szCs w:val="24"/>
          <w:highlight w:val="none"/>
          <w:lang w:val="en-US" w:eastAsia="zh-CN"/>
        </w:rPr>
        <w:t>6.3、产品及其备附件到达甲方指定地点后，乙方应按有关技术规程和甲方要求进行安装调试。</w:t>
      </w:r>
      <w:bookmarkEnd w:id="35"/>
    </w:p>
    <w:p w14:paraId="39E67E74">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textAlignment w:val="auto"/>
        <w:outlineLvl w:val="0"/>
        <w:rPr>
          <w:rFonts w:hint="eastAsia" w:ascii="宋体" w:hAnsi="宋体" w:cs="宋体"/>
          <w:b/>
          <w:color w:val="auto"/>
          <w:sz w:val="24"/>
          <w:szCs w:val="24"/>
          <w:highlight w:val="none"/>
          <w:lang w:val="en-US" w:eastAsia="zh-CN"/>
        </w:rPr>
      </w:pPr>
      <w:bookmarkStart w:id="36" w:name="_Toc4568"/>
      <w:r>
        <w:rPr>
          <w:rFonts w:hint="eastAsia" w:ascii="宋体" w:hAnsi="宋体" w:cs="宋体"/>
          <w:b/>
          <w:color w:val="auto"/>
          <w:sz w:val="24"/>
          <w:szCs w:val="24"/>
          <w:highlight w:val="none"/>
          <w:lang w:val="en-US" w:eastAsia="zh-CN"/>
        </w:rPr>
        <w:t>7、售后服务</w:t>
      </w:r>
      <w:bookmarkEnd w:id="36"/>
    </w:p>
    <w:p w14:paraId="54B8A9A6">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firstLine="480" w:firstLineChars="200"/>
        <w:textAlignment w:val="auto"/>
        <w:outlineLvl w:val="0"/>
        <w:rPr>
          <w:rFonts w:hint="eastAsia" w:ascii="宋体" w:hAnsi="宋体" w:eastAsia="宋体" w:cs="宋体"/>
          <w:b w:val="0"/>
          <w:bCs/>
          <w:color w:val="auto"/>
          <w:sz w:val="24"/>
          <w:szCs w:val="24"/>
          <w:highlight w:val="none"/>
          <w:lang w:val="en-US" w:eastAsia="zh-CN"/>
        </w:rPr>
      </w:pPr>
      <w:bookmarkStart w:id="37" w:name="_Toc12856"/>
      <w:r>
        <w:rPr>
          <w:rFonts w:hint="eastAsia" w:ascii="宋体" w:hAnsi="宋体" w:eastAsia="宋体" w:cs="宋体"/>
          <w:b w:val="0"/>
          <w:bCs/>
          <w:color w:val="auto"/>
          <w:sz w:val="24"/>
          <w:szCs w:val="24"/>
          <w:highlight w:val="none"/>
          <w:lang w:val="en-US" w:eastAsia="zh-CN"/>
        </w:rPr>
        <w:t>免费保修</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年，质保期内，对于非人为因素引起的质量瑕疵或损坏，乙方服务响应时间不超过2小时，解决问题时间不超过24小时，对问题较大短期内暂不能解决的，为不影响甲方正常工作，乙方在2日内免费提供替代产品，确保正常使用，若需运送回生产厂，乙方承担全部往返费用，否则甲方有权委托第三方进行维修或更换，产生的费用由乙方承担；超出质保期只收取维修所需原设备、材料成本费用，不收取人工费。</w:t>
      </w:r>
      <w:bookmarkEnd w:id="37"/>
    </w:p>
    <w:p w14:paraId="0F7E4A5A">
      <w:pPr>
        <w:keepLines w:val="0"/>
        <w:pageBreakBefore w:val="0"/>
        <w:widowControl w:val="0"/>
        <w:tabs>
          <w:tab w:val="left" w:pos="735"/>
        </w:tabs>
        <w:kinsoku/>
        <w:wordWrap/>
        <w:overflowPunct/>
        <w:topLinePunct w:val="0"/>
        <w:autoSpaceDE w:val="0"/>
        <w:autoSpaceDN w:val="0"/>
        <w:bidi w:val="0"/>
        <w:adjustRightInd w:val="0"/>
        <w:snapToGrid w:val="0"/>
        <w:spacing w:line="560" w:lineRule="exact"/>
        <w:ind w:left="0" w:leftChars="0" w:right="0" w:rightChars="0"/>
        <w:textAlignment w:val="auto"/>
        <w:outlineLvl w:val="0"/>
        <w:rPr>
          <w:rFonts w:hint="eastAsia" w:ascii="宋体" w:hAnsi="宋体" w:cs="宋体"/>
          <w:b/>
          <w:color w:val="auto"/>
          <w:sz w:val="24"/>
          <w:szCs w:val="24"/>
          <w:highlight w:val="none"/>
          <w:lang w:val="en-US" w:eastAsia="zh-CN"/>
        </w:rPr>
      </w:pPr>
      <w:bookmarkStart w:id="38" w:name="_Toc32060"/>
      <w:r>
        <w:rPr>
          <w:rFonts w:hint="eastAsia" w:ascii="宋体" w:hAnsi="宋体" w:cs="宋体"/>
          <w:b/>
          <w:color w:val="auto"/>
          <w:sz w:val="24"/>
          <w:szCs w:val="24"/>
          <w:highlight w:val="none"/>
          <w:lang w:val="en-US" w:eastAsia="zh-CN"/>
        </w:rPr>
        <w:t>8、验收</w:t>
      </w:r>
      <w:bookmarkEnd w:id="38"/>
    </w:p>
    <w:p w14:paraId="2E8EE6DC">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8.1、按国家现行项目实施规范和合同规定的验收评定标准等要求进行验收。</w:t>
      </w:r>
    </w:p>
    <w:p w14:paraId="31268FB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8.2、甲方与相应专家共同进行验收，若任意一方认为验收不合格，乙方应重新调整且进行重新验收。验收合格后，填写政府采购项目验收单作为对项目的最终认可。</w:t>
      </w:r>
    </w:p>
    <w:p w14:paraId="22C3B62C">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8.3、验收依据</w:t>
      </w:r>
    </w:p>
    <w:p w14:paraId="3615BE3A">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1）谈判采购文件、谈判响应文件、澄清表（函）；</w:t>
      </w:r>
    </w:p>
    <w:p w14:paraId="6721AF02">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2）本合同及附件文本；</w:t>
      </w:r>
    </w:p>
    <w:p w14:paraId="2AF5F72E">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3）合同签订时国家及行业现行的标准和技术规范。</w:t>
      </w:r>
    </w:p>
    <w:p w14:paraId="3FAB96F2">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9、双方的权利和义务</w:t>
      </w:r>
    </w:p>
    <w:p w14:paraId="2A73F2A4">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9.1、甲方的权利与义务</w:t>
      </w:r>
    </w:p>
    <w:p w14:paraId="0CCE3737">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（1）甲方有权对乙方交付的产品，及产品安装、调试工作进行验收。</w:t>
      </w:r>
    </w:p>
    <w:p w14:paraId="755174BB">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（2）甲方有权组织人员严格按照要求和标准验收所交付产品及最终安装成果。</w:t>
      </w:r>
    </w:p>
    <w:p w14:paraId="4CD658F3">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（3）甲方有权对乙方工作提出意见，乙方应积极听取并认真进行修改、调整；若乙方拒不执行甲方的建议，由此而产生的相关费用应由乙方自行承担，若因此造成的工作延误，乙方应承担相关责任与损失。</w:t>
      </w:r>
    </w:p>
    <w:p w14:paraId="5AC12EA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（4）甲方有权到乙方生产场地检查产品质量和生产进度。</w:t>
      </w:r>
    </w:p>
    <w:p w14:paraId="5452530B">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（5）甲方有权按需要求乙方拆卸、撤除各点位。</w:t>
      </w:r>
    </w:p>
    <w:p w14:paraId="3DCA09BE">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9.2、乙方的权利与义务</w:t>
      </w:r>
    </w:p>
    <w:p w14:paraId="092C449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（1）乙方保证对其出售的产品享有合法的权利，不存在任何未曾向甲方透露的担保物权。</w:t>
      </w:r>
    </w:p>
    <w:p w14:paraId="50BB6DD0">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乙方负责产品的运输、安装与调试，并在合同约定的时间完工，负责产品生产、运输、装卸、安装过程中的安全负责，乙方在履行本合同期间发生的人身、财产等一切安全事故，均由乙方自行承担全部责任及相关费用。</w:t>
      </w:r>
    </w:p>
    <w:p w14:paraId="31D4BB93">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（3）乙方有权按照合同约定要求甲方及时付款。</w:t>
      </w:r>
    </w:p>
    <w:p w14:paraId="390725BF">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（4）乙方按合同约定的产品数量、质量及时间完成产品的供货、安装工作，负责将产品运至甲方指定地点并安装调试，并负责甲方整体验收合格书面确认接收前的保管工作。</w:t>
      </w:r>
    </w:p>
    <w:p w14:paraId="22074F7C">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（5）乙方未经甲方书面同意，不得将本合同项下全部或部分工作转交第三方完成。</w:t>
      </w:r>
    </w:p>
    <w:p w14:paraId="15641E78">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10、违约责任</w:t>
      </w:r>
    </w:p>
    <w:p w14:paraId="7F14A236">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left="0" w:leftChars="0" w:right="0" w:rightChars="0"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10.1、按《中华人民共和国民法典》中的相关条款执行。</w:t>
      </w:r>
    </w:p>
    <w:p w14:paraId="0F3AB701">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left="0" w:leftChars="0" w:right="0" w:rightChars="0"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10.2、未按合同要求提供产品或产品质量不能满足技术要求，采购人有权终止合同，并对供方违约行为进行追究，同时按《中华人民共和国政府采购法》的有关规定进行处罚。</w:t>
      </w:r>
    </w:p>
    <w:p w14:paraId="26398737">
      <w:pPr>
        <w:keepLines w:val="0"/>
        <w:pageBreakBefore w:val="0"/>
        <w:widowControl w:val="0"/>
        <w:tabs>
          <w:tab w:val="left" w:pos="735"/>
        </w:tabs>
        <w:kinsoku/>
        <w:wordWrap/>
        <w:overflowPunct/>
        <w:topLinePunct w:val="0"/>
        <w:bidi w:val="0"/>
        <w:adjustRightInd w:val="0"/>
        <w:snapToGrid w:val="0"/>
        <w:spacing w:line="560" w:lineRule="exact"/>
        <w:ind w:left="0" w:leftChars="0" w:right="0" w:rightChars="0"/>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11、争议与索赔</w:t>
      </w:r>
    </w:p>
    <w:p w14:paraId="4F1283E0">
      <w:pPr>
        <w:keepLines w:val="0"/>
        <w:pageBreakBefore w:val="0"/>
        <w:widowControl w:val="0"/>
        <w:kinsoku/>
        <w:wordWrap/>
        <w:overflowPunct/>
        <w:topLinePunct w:val="0"/>
        <w:bidi w:val="0"/>
        <w:spacing w:line="560" w:lineRule="exact"/>
        <w:ind w:left="0" w:leftChars="0" w:right="0" w:rightChars="0" w:firstLine="480" w:firstLineChars="200"/>
        <w:jc w:val="left"/>
        <w:textAlignment w:val="auto"/>
        <w:rPr>
          <w:rFonts w:hint="eastAsia" w:ascii="宋体" w:hAnsi="宋体" w:cs="宋体"/>
          <w:b w:val="0"/>
          <w:bCs/>
          <w:color w:val="auto"/>
          <w:sz w:val="24"/>
          <w:szCs w:val="24"/>
          <w:highlight w:val="none"/>
          <w:lang w:val="en-US" w:eastAsia="zh-CN"/>
        </w:rPr>
      </w:pPr>
      <w:bookmarkStart w:id="39" w:name="_Toc497206196"/>
      <w:bookmarkStart w:id="40" w:name="_Toc497206306"/>
      <w:r>
        <w:rPr>
          <w:rFonts w:hint="eastAsia" w:ascii="宋体" w:hAnsi="宋体" w:cs="宋体"/>
          <w:b w:val="0"/>
          <w:bCs/>
          <w:color w:val="auto"/>
          <w:sz w:val="24"/>
          <w:szCs w:val="24"/>
          <w:highlight w:val="none"/>
          <w:lang w:val="en-US" w:eastAsia="zh-CN"/>
        </w:rPr>
        <w:t>11.1 甲乙双方因合同发生争议时，双方应通过友好协商解决，协商不能达成协议，要求调解、仲裁、或诉讼的，采用调解或仲裁方式解决：</w:t>
      </w:r>
    </w:p>
    <w:p w14:paraId="02A8123B">
      <w:pPr>
        <w:keepLines w:val="0"/>
        <w:pageBreakBefore w:val="0"/>
        <w:widowControl w:val="0"/>
        <w:kinsoku/>
        <w:wordWrap/>
        <w:overflowPunct/>
        <w:topLinePunct w:val="0"/>
        <w:bidi w:val="0"/>
        <w:spacing w:line="560" w:lineRule="exact"/>
        <w:ind w:left="0" w:leftChars="0" w:right="0" w:rightChars="0" w:firstLine="480" w:firstLineChars="200"/>
        <w:jc w:val="left"/>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11.2向甲方所在地仲裁委员会提请仲裁；</w:t>
      </w:r>
    </w:p>
    <w:p w14:paraId="114F3895">
      <w:pPr>
        <w:keepLines w:val="0"/>
        <w:pageBreakBefore w:val="0"/>
        <w:widowControl w:val="0"/>
        <w:kinsoku/>
        <w:wordWrap/>
        <w:overflowPunct/>
        <w:topLinePunct w:val="0"/>
        <w:bidi w:val="0"/>
        <w:spacing w:line="560" w:lineRule="exact"/>
        <w:ind w:left="0" w:leftChars="0" w:right="0" w:rightChars="0" w:firstLine="480" w:firstLineChars="200"/>
        <w:jc w:val="left"/>
        <w:textAlignment w:val="auto"/>
        <w:rPr>
          <w:rFonts w:ascii="宋体" w:hAnsi="宋体" w:cs="宋体"/>
          <w:b/>
          <w:color w:val="auto"/>
          <w:sz w:val="24"/>
          <w:szCs w:val="24"/>
          <w:highlight w:val="none"/>
        </w:rPr>
      </w:pPr>
      <w:r>
        <w:rPr>
          <w:rFonts w:hint="eastAsia" w:ascii="宋体" w:hAnsi="宋体" w:cs="宋体"/>
          <w:b w:val="0"/>
          <w:bCs/>
          <w:color w:val="auto"/>
          <w:sz w:val="24"/>
          <w:szCs w:val="24"/>
          <w:highlight w:val="none"/>
          <w:lang w:val="en-US" w:eastAsia="zh-CN"/>
        </w:rPr>
        <w:t>11.3仲裁期间，除与仲裁有关的部分外，双方应继续履行合同规定的各自的义务。</w:t>
      </w:r>
      <w:r>
        <w:rPr>
          <w:rFonts w:hint="eastAsia" w:ascii="宋体" w:hAnsi="宋体" w:cs="宋体"/>
          <w:b/>
          <w:color w:val="auto"/>
          <w:sz w:val="24"/>
          <w:szCs w:val="24"/>
          <w:highlight w:val="none"/>
          <w:lang w:val="en-US" w:eastAsia="zh-CN"/>
        </w:rPr>
        <w:t>12</w:t>
      </w:r>
      <w:r>
        <w:rPr>
          <w:rFonts w:hint="eastAsia" w:ascii="宋体" w:hAnsi="宋体" w:cs="宋体"/>
          <w:b/>
          <w:color w:val="auto"/>
          <w:sz w:val="24"/>
          <w:szCs w:val="24"/>
          <w:highlight w:val="none"/>
        </w:rPr>
        <w:t>、合同的变更和终止</w:t>
      </w:r>
    </w:p>
    <w:p w14:paraId="6EBF0590">
      <w:pPr>
        <w:keepLines w:val="0"/>
        <w:pageBreakBefore w:val="0"/>
        <w:widowControl w:val="0"/>
        <w:kinsoku/>
        <w:wordWrap/>
        <w:overflowPunct/>
        <w:topLinePunct w:val="0"/>
        <w:bidi w:val="0"/>
        <w:spacing w:line="560" w:lineRule="exact"/>
        <w:ind w:left="0" w:leftChars="0" w:right="0" w:rightChars="0"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除《政府采购法》第49条、第50条第二款规定的情形外，本合同一经签订，甲乙双方不得擅自变更、中止或终止合同。</w:t>
      </w:r>
    </w:p>
    <w:p w14:paraId="5D59B170">
      <w:pPr>
        <w:keepLines w:val="0"/>
        <w:pageBreakBefore w:val="0"/>
        <w:widowControl w:val="0"/>
        <w:kinsoku/>
        <w:wordWrap/>
        <w:overflowPunct/>
        <w:topLinePunct w:val="0"/>
        <w:autoSpaceDE w:val="0"/>
        <w:autoSpaceDN w:val="0"/>
        <w:bidi w:val="0"/>
        <w:adjustRightInd w:val="0"/>
        <w:spacing w:line="560" w:lineRule="exact"/>
        <w:ind w:left="0" w:leftChars="0" w:right="0" w:rightChars="0"/>
        <w:textAlignment w:val="auto"/>
        <w:outlineLvl w:val="0"/>
        <w:rPr>
          <w:rFonts w:ascii="宋体" w:hAnsi="宋体" w:cs="宋体"/>
          <w:b/>
          <w:bCs/>
          <w:color w:val="auto"/>
          <w:sz w:val="24"/>
          <w:szCs w:val="24"/>
          <w:highlight w:val="none"/>
          <w:lang w:val="zh-CN"/>
        </w:rPr>
      </w:pPr>
      <w:bookmarkStart w:id="41" w:name="_Toc27594"/>
      <w:bookmarkStart w:id="42" w:name="_Toc20855"/>
      <w:bookmarkStart w:id="43" w:name="_Toc3203"/>
      <w:r>
        <w:rPr>
          <w:rFonts w:hint="eastAsia" w:ascii="宋体" w:hAnsi="宋体" w:cs="宋体"/>
          <w:b/>
          <w:bCs/>
          <w:color w:val="auto"/>
          <w:sz w:val="24"/>
          <w:szCs w:val="24"/>
          <w:highlight w:val="none"/>
          <w:lang w:val="en-US" w:eastAsia="zh-CN"/>
        </w:rPr>
        <w:t>13</w:t>
      </w:r>
      <w:r>
        <w:rPr>
          <w:rFonts w:hint="eastAsia" w:ascii="宋体" w:hAnsi="宋体" w:cs="宋体"/>
          <w:b/>
          <w:bCs/>
          <w:color w:val="auto"/>
          <w:sz w:val="24"/>
          <w:szCs w:val="24"/>
          <w:highlight w:val="none"/>
          <w:lang w:val="zh-CN"/>
        </w:rPr>
        <w:t>、合同组成</w:t>
      </w:r>
      <w:bookmarkEnd w:id="39"/>
      <w:bookmarkEnd w:id="40"/>
      <w:bookmarkEnd w:id="41"/>
      <w:bookmarkEnd w:id="42"/>
      <w:bookmarkEnd w:id="43"/>
    </w:p>
    <w:p w14:paraId="0E6C7ACC">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1、成交通知书</w:t>
      </w:r>
    </w:p>
    <w:p w14:paraId="1587622E">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2、合同文件</w:t>
      </w:r>
    </w:p>
    <w:p w14:paraId="52EF8A50">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3、国家相关规范及标准</w:t>
      </w:r>
    </w:p>
    <w:p w14:paraId="4DCDC050">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4、</w:t>
      </w:r>
      <w:r>
        <w:rPr>
          <w:rFonts w:hint="eastAsia" w:ascii="宋体" w:hAnsi="宋体" w:cs="宋体"/>
          <w:color w:val="auto"/>
          <w:sz w:val="24"/>
          <w:szCs w:val="24"/>
          <w:highlight w:val="none"/>
          <w:lang w:val="en-US" w:eastAsia="zh-CN"/>
        </w:rPr>
        <w:t>供货清单</w:t>
      </w:r>
    </w:p>
    <w:p w14:paraId="01830874">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13.5、</w:t>
      </w:r>
      <w:r>
        <w:rPr>
          <w:rFonts w:hint="eastAsia" w:ascii="宋体" w:hAnsi="宋体" w:cs="宋体"/>
          <w:color w:val="auto"/>
          <w:sz w:val="24"/>
          <w:szCs w:val="24"/>
          <w:highlight w:val="none"/>
        </w:rPr>
        <w:t>竞争性谈判文件</w:t>
      </w:r>
    </w:p>
    <w:p w14:paraId="400FB44C">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13.6</w:t>
      </w:r>
      <w:r>
        <w:rPr>
          <w:rFonts w:hint="eastAsia" w:ascii="宋体" w:hAnsi="宋体" w:cs="宋体"/>
          <w:color w:val="auto"/>
          <w:sz w:val="24"/>
          <w:szCs w:val="24"/>
          <w:highlight w:val="none"/>
        </w:rPr>
        <w:t>、竞争性谈判响应文件</w:t>
      </w:r>
    </w:p>
    <w:p w14:paraId="5F1D3E2F">
      <w:pPr>
        <w:keepLines w:val="0"/>
        <w:pageBreakBefore w:val="0"/>
        <w:widowControl w:val="0"/>
        <w:kinsoku/>
        <w:wordWrap/>
        <w:overflowPunct/>
        <w:topLinePunct w:val="0"/>
        <w:autoSpaceDE w:val="0"/>
        <w:autoSpaceDN w:val="0"/>
        <w:bidi w:val="0"/>
        <w:adjustRightInd w:val="0"/>
        <w:spacing w:line="560" w:lineRule="exact"/>
        <w:ind w:left="0" w:leftChars="0" w:right="0" w:rightChars="0"/>
        <w:textAlignment w:val="auto"/>
        <w:outlineLvl w:val="0"/>
        <w:rPr>
          <w:rFonts w:ascii="宋体" w:hAnsi="宋体" w:cs="宋体"/>
          <w:b/>
          <w:bCs/>
          <w:color w:val="auto"/>
          <w:sz w:val="24"/>
          <w:szCs w:val="24"/>
          <w:highlight w:val="none"/>
        </w:rPr>
      </w:pPr>
      <w:bookmarkStart w:id="44" w:name="_Toc10604"/>
      <w:bookmarkStart w:id="45" w:name="_Toc18398"/>
      <w:bookmarkStart w:id="46" w:name="_Toc893"/>
      <w:bookmarkStart w:id="47" w:name="_Toc497206307"/>
      <w:bookmarkStart w:id="48" w:name="_Toc497206197"/>
      <w:r>
        <w:rPr>
          <w:rFonts w:hint="eastAsia" w:ascii="宋体" w:hAnsi="宋体" w:cs="宋体"/>
          <w:b/>
          <w:bCs/>
          <w:color w:val="auto"/>
          <w:sz w:val="24"/>
          <w:szCs w:val="24"/>
          <w:highlight w:val="none"/>
          <w:lang w:val="en-US" w:eastAsia="zh-CN"/>
        </w:rPr>
        <w:t>14</w:t>
      </w:r>
      <w:r>
        <w:rPr>
          <w:rFonts w:hint="eastAsia" w:ascii="宋体" w:hAnsi="宋体" w:cs="宋体"/>
          <w:b/>
          <w:bCs/>
          <w:color w:val="auto"/>
          <w:sz w:val="24"/>
          <w:szCs w:val="24"/>
          <w:highlight w:val="none"/>
          <w:lang w:val="zh-CN"/>
        </w:rPr>
        <w:t>、合同生效及其它</w:t>
      </w:r>
      <w:bookmarkEnd w:id="44"/>
      <w:bookmarkEnd w:id="45"/>
      <w:bookmarkEnd w:id="46"/>
      <w:bookmarkEnd w:id="47"/>
      <w:bookmarkEnd w:id="48"/>
    </w:p>
    <w:p w14:paraId="1D491256">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14.</w:t>
      </w:r>
      <w:r>
        <w:rPr>
          <w:rFonts w:hint="eastAsia" w:ascii="宋体" w:hAnsi="宋体" w:cs="宋体"/>
          <w:color w:val="auto"/>
          <w:sz w:val="24"/>
          <w:szCs w:val="24"/>
          <w:highlight w:val="none"/>
        </w:rPr>
        <w:t>1、合同未尽事宜、由甲、乙双方协商，作为合同补充，与原合同具有同等法律效力。</w:t>
      </w:r>
    </w:p>
    <w:p w14:paraId="70D46845">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14.</w:t>
      </w:r>
      <w:r>
        <w:rPr>
          <w:rFonts w:hint="eastAsia" w:ascii="宋体" w:hAnsi="宋体" w:cs="宋体"/>
          <w:color w:val="auto"/>
          <w:sz w:val="24"/>
          <w:szCs w:val="24"/>
          <w:highlight w:val="none"/>
        </w:rPr>
        <w:t>2、本合同正本一式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份，甲方、乙方双方分别执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份，备案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w:t>
      </w:r>
    </w:p>
    <w:p w14:paraId="5F0B43FC">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14.</w:t>
      </w:r>
      <w:r>
        <w:rPr>
          <w:rFonts w:hint="eastAsia" w:ascii="宋体" w:hAnsi="宋体" w:cs="宋体"/>
          <w:color w:val="auto"/>
          <w:sz w:val="24"/>
          <w:szCs w:val="24"/>
          <w:highlight w:val="none"/>
        </w:rPr>
        <w:t>3、合同经甲乙双方盖章、签字后生效，合同签订地点为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BCDC421">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14.</w:t>
      </w:r>
      <w:r>
        <w:rPr>
          <w:rFonts w:hint="eastAsia" w:ascii="宋体" w:hAnsi="宋体" w:cs="宋体"/>
          <w:color w:val="auto"/>
          <w:sz w:val="24"/>
          <w:szCs w:val="24"/>
          <w:highlight w:val="none"/>
        </w:rPr>
        <w:t>4、生效时间：    年   月  日</w:t>
      </w:r>
    </w:p>
    <w:tbl>
      <w:tblPr>
        <w:tblStyle w:val="4"/>
        <w:tblW w:w="9286" w:type="dxa"/>
        <w:jc w:val="center"/>
        <w:tblLayout w:type="fixed"/>
        <w:tblCellMar>
          <w:top w:w="0" w:type="dxa"/>
          <w:left w:w="108" w:type="dxa"/>
          <w:bottom w:w="0" w:type="dxa"/>
          <w:right w:w="108" w:type="dxa"/>
        </w:tblCellMar>
      </w:tblPr>
      <w:tblGrid>
        <w:gridCol w:w="4643"/>
        <w:gridCol w:w="4643"/>
      </w:tblGrid>
      <w:tr w14:paraId="4A20D7D5">
        <w:tblPrEx>
          <w:tblCellMar>
            <w:top w:w="0" w:type="dxa"/>
            <w:left w:w="108" w:type="dxa"/>
            <w:bottom w:w="0" w:type="dxa"/>
            <w:right w:w="108" w:type="dxa"/>
          </w:tblCellMar>
        </w:tblPrEx>
        <w:trPr>
          <w:jc w:val="center"/>
        </w:trPr>
        <w:tc>
          <w:tcPr>
            <w:tcW w:w="4643" w:type="dxa"/>
          </w:tcPr>
          <w:p w14:paraId="09A108DB">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甲方名称（盖章）:</w:t>
            </w:r>
          </w:p>
          <w:p w14:paraId="3741E874">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1308C0FB">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代表人（签字）：</w:t>
            </w:r>
          </w:p>
          <w:p w14:paraId="3224706A">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5BEB0A3A">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7C30EDDD">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帐号：</w:t>
            </w:r>
          </w:p>
        </w:tc>
        <w:tc>
          <w:tcPr>
            <w:tcW w:w="4643" w:type="dxa"/>
          </w:tcPr>
          <w:p w14:paraId="3400340D">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乙方名称（盖章）:</w:t>
            </w:r>
          </w:p>
          <w:p w14:paraId="597FFE6B">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145E45D7">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代表人（签字）：</w:t>
            </w:r>
          </w:p>
          <w:p w14:paraId="36F18C1C">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6C1D1791">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6B1DF068">
            <w:pPr>
              <w:keepLines w:val="0"/>
              <w:pageBreakBefore w:val="0"/>
              <w:widowControl w:val="0"/>
              <w:kinsoku/>
              <w:wordWrap/>
              <w:overflowPunct/>
              <w:topLinePunct w:val="0"/>
              <w:bidi w:val="0"/>
              <w:adjustRightInd w:val="0"/>
              <w:snapToGrid w:val="0"/>
              <w:spacing w:line="560" w:lineRule="exact"/>
              <w:ind w:left="0" w:leftChars="0" w:right="0" w:rightChars="0"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帐号：</w:t>
            </w:r>
          </w:p>
        </w:tc>
      </w:tr>
    </w:tbl>
    <w:p w14:paraId="1E94F1BA">
      <w:pPr>
        <w:pStyle w:val="3"/>
        <w:keepLines w:val="0"/>
        <w:pageBreakBefore w:val="0"/>
        <w:kinsoku/>
        <w:bidi w:val="0"/>
        <w:spacing w:line="560" w:lineRule="exact"/>
        <w:ind w:left="0" w:leftChars="0" w:right="0" w:rightChars="0"/>
        <w:rPr>
          <w:rFonts w:hint="eastAsia" w:ascii="宋体" w:hAnsi="宋体" w:cs="宋体"/>
          <w:b/>
          <w:color w:val="auto"/>
          <w:sz w:val="24"/>
          <w:szCs w:val="24"/>
          <w:highlight w:val="none"/>
        </w:rPr>
      </w:pPr>
    </w:p>
    <w:p w14:paraId="472AF7C6">
      <w:pPr>
        <w:pStyle w:val="7"/>
        <w:keepLines w:val="0"/>
        <w:pageBreakBefore w:val="0"/>
        <w:kinsoku/>
        <w:bidi w:val="0"/>
        <w:spacing w:line="560" w:lineRule="exact"/>
        <w:ind w:left="0" w:leftChars="0" w:right="0" w:rightChars="0"/>
        <w:rPr>
          <w:rFonts w:hint="eastAsia" w:ascii="宋体" w:hAnsi="宋体" w:eastAsia="宋体" w:cs="宋体"/>
          <w:bCs/>
          <w:color w:val="auto"/>
          <w:sz w:val="24"/>
          <w:highlight w:val="none"/>
          <w:lang w:eastAsia="zh-CN"/>
        </w:rPr>
      </w:pPr>
    </w:p>
    <w:p w14:paraId="367A18FB">
      <w:pPr>
        <w:pStyle w:val="7"/>
        <w:keepLines w:val="0"/>
        <w:pageBreakBefore w:val="0"/>
        <w:kinsoku/>
        <w:bidi w:val="0"/>
        <w:spacing w:line="560" w:lineRule="exact"/>
        <w:ind w:left="0" w:leftChars="0" w:right="0" w:rightChars="0"/>
        <w:rPr>
          <w:rFonts w:hint="eastAsia" w:ascii="宋体" w:hAnsi="宋体" w:eastAsia="宋体" w:cs="宋体"/>
          <w:bCs/>
          <w:color w:val="auto"/>
          <w:sz w:val="24"/>
          <w:highlight w:val="none"/>
          <w:lang w:eastAsia="zh-CN"/>
        </w:rPr>
      </w:pPr>
    </w:p>
    <w:p w14:paraId="5F442C9D">
      <w:pPr>
        <w:pStyle w:val="7"/>
        <w:keepLines w:val="0"/>
        <w:pageBreakBefore w:val="0"/>
        <w:kinsoku/>
        <w:bidi w:val="0"/>
        <w:spacing w:line="560" w:lineRule="exact"/>
        <w:ind w:left="0" w:leftChars="0" w:right="0" w:rightChars="0"/>
        <w:rPr>
          <w:rFonts w:hint="eastAsia" w:ascii="宋体" w:hAnsi="宋体" w:eastAsia="宋体" w:cs="宋体"/>
          <w:bCs/>
          <w:color w:val="auto"/>
          <w:sz w:val="24"/>
          <w:highlight w:val="none"/>
          <w:lang w:eastAsia="zh-CN"/>
        </w:rPr>
      </w:pPr>
    </w:p>
    <w:bookmarkEnd w:id="2"/>
    <w:bookmarkEnd w:id="3"/>
    <w:p w14:paraId="16A521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40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customStyle="1" w:styleId="7">
    <w:name w:val="无间隔1"/>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2026-01-12T03:39:25Z</dcterms:created>
  <dc:creator>Administrator</dc:creator>
  <cp:lastModifiedBy>pink！！☀️</cp:lastModifiedBy>
  <dcterms:modified xsi:type="dcterms:W3CDTF">2026-01-12T03:39:58Z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eyJoZGlkIjoiMTA3NGI2YTZiMTA2ZGNjYzYzYjFhN2FiMzA1N2FhYzciLCJ1c2VySWQiOiI0NjcxNDU5MjIifQ==</vt:lpwstr>
  </property>
  <property fmtid="{D5CDD505-2E9C-101B-9397-08002B2CF9AE}" pid="4" name="ICV">
    <vt:lpwstr>35F8860CBB244F55B748DE99CCC53ACF_12</vt:lpwstr>
  </property>
</Properties>
</file>