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版本号：JXRZ-HC-2026-00820260226001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洋县华阳至沙坝公路改建工程勘测定界报告编制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JXRZ-HC-2026-008</w:t>
      </w:r>
      <w:r>
        <w:br/>
      </w:r>
      <w:r>
        <w:br/>
      </w:r>
      <w:r>
        <w:br/>
      </w:r>
    </w:p>
    <w:p>
      <w:pPr>
        <w:pStyle w:val="null3"/>
        <w:jc w:val="center"/>
        <w:outlineLvl w:val="2"/>
      </w:pPr>
      <w:r>
        <w:rPr>
          <w:rFonts w:ascii="仿宋_GB2312" w:hAnsi="仿宋_GB2312" w:cs="仿宋_GB2312" w:eastAsia="仿宋_GB2312"/>
          <w:sz w:val="28"/>
          <w:b/>
        </w:rPr>
        <w:t>洋县交通运输局（机关）</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洋县交通运输局（机关）</w:t>
      </w:r>
      <w:r>
        <w:rPr>
          <w:rFonts w:ascii="仿宋_GB2312" w:hAnsi="仿宋_GB2312" w:cs="仿宋_GB2312" w:eastAsia="仿宋_GB2312"/>
        </w:rPr>
        <w:t>委托，拟对</w:t>
      </w:r>
      <w:r>
        <w:rPr>
          <w:rFonts w:ascii="仿宋_GB2312" w:hAnsi="仿宋_GB2312" w:cs="仿宋_GB2312" w:eastAsia="仿宋_GB2312"/>
        </w:rPr>
        <w:t>洋县华阳至沙坝公路改建工程勘测定界报告编制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洋县华阳至沙坝公路改建工程勘测定界报告编制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拟开展洋县华阳至沙坝公路改建工程勘测定界报告编制服务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采购包1（洋县华阳至沙坝公路改建工程勘测定界报告编制）：属于专门面向中小企业采购。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2、授权委托书：法定代表人参加投标的，提供本人身份证复印件并出示身份证原件；法定代表人授权他人参加投标的，提供法定代表人授权委托书并出示被授权代表的身份证原件；</w:t>
      </w:r>
    </w:p>
    <w:p>
      <w:pPr>
        <w:pStyle w:val="null3"/>
      </w:pPr>
      <w:r>
        <w:rPr>
          <w:rFonts w:ascii="仿宋_GB2312" w:hAnsi="仿宋_GB2312" w:cs="仿宋_GB2312" w:eastAsia="仿宋_GB2312"/>
        </w:rPr>
        <w:t>3、资质证书：投标供应商应具备行政主管部门颁发的合法有效的乙级及以上（含乙级）测绘资质；</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洋县南环路74号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洋县交通运输局（机关）经办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13649161017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洋县交通运输局（机关）</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根据行业标准规定执行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拟对洋县华阳至沙坝公路改建工程进行勘测定界服务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595,000.00</w:t>
      </w:r>
    </w:p>
    <w:p>
      <w:pPr>
        <w:pStyle w:val="null3"/>
      </w:pPr>
      <w:r>
        <w:rPr>
          <w:rFonts w:ascii="仿宋_GB2312" w:hAnsi="仿宋_GB2312" w:cs="仿宋_GB2312" w:eastAsia="仿宋_GB2312"/>
        </w:rPr>
        <w:t>采购包最高限价（元）: 595,000.00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完成洋县华阳至沙坝公路改建工程勘测定界报告编制.并通过行业主管部门审批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标的名称：完成洋县华阳至沙坝公路改建工程勘测定界报告编制.并通过行业主管部门审批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项目名称</w:t>
            </w:r>
          </w:p>
          <w:p>
            <w:pPr>
              <w:pStyle w:val="null3"/>
              <w:ind w:firstLine="480"/>
              <w:jc w:val="left"/>
            </w:pPr>
            <w:r>
              <w:rPr>
                <w:rFonts w:ascii="仿宋_GB2312" w:hAnsi="仿宋_GB2312" w:cs="仿宋_GB2312" w:eastAsia="仿宋_GB2312"/>
                <w:sz w:val="24"/>
                <w:color w:val="222222"/>
              </w:rPr>
              <w:t>洋县华阳至沙坝公路改建工程勘测定界报告编制</w:t>
            </w:r>
          </w:p>
          <w:p>
            <w:pPr>
              <w:pStyle w:val="null3"/>
              <w:ind w:firstLine="482"/>
              <w:jc w:val="left"/>
            </w:pPr>
            <w:r>
              <w:rPr>
                <w:rFonts w:ascii="仿宋_GB2312" w:hAnsi="仿宋_GB2312" w:cs="仿宋_GB2312" w:eastAsia="仿宋_GB2312"/>
                <w:sz w:val="24"/>
                <w:b/>
                <w:color w:val="222222"/>
              </w:rPr>
              <w:t>二、</w:t>
            </w:r>
            <w:r>
              <w:rPr>
                <w:rFonts w:ascii="仿宋_GB2312" w:hAnsi="仿宋_GB2312" w:cs="仿宋_GB2312" w:eastAsia="仿宋_GB2312"/>
                <w:sz w:val="24"/>
                <w:b/>
                <w:color w:val="222222"/>
              </w:rPr>
              <w:t>工作内容</w:t>
            </w:r>
          </w:p>
          <w:p>
            <w:pPr>
              <w:pStyle w:val="null3"/>
              <w:ind w:firstLine="480"/>
              <w:jc w:val="left"/>
            </w:pPr>
            <w:r>
              <w:rPr>
                <w:rFonts w:ascii="仿宋_GB2312" w:hAnsi="仿宋_GB2312" w:cs="仿宋_GB2312" w:eastAsia="仿宋_GB2312"/>
                <w:sz w:val="24"/>
              </w:rPr>
              <w:t>根据项目所涉及的用地范围进行实地勘测，精确测定界址点的位置和坐标，绘制详细的勘测定界图，明确工程用地的地类、面积、权属等状况，计算用地面积，编制勘测定界报告，并通过行业主管部门审批。</w:t>
            </w:r>
          </w:p>
          <w:p>
            <w:pPr>
              <w:pStyle w:val="null3"/>
              <w:ind w:firstLine="482"/>
              <w:jc w:val="left"/>
            </w:pPr>
            <w:r>
              <w:rPr>
                <w:rFonts w:ascii="仿宋_GB2312" w:hAnsi="仿宋_GB2312" w:cs="仿宋_GB2312" w:eastAsia="仿宋_GB2312"/>
                <w:sz w:val="24"/>
                <w:b/>
                <w:color w:val="222222"/>
              </w:rPr>
              <w:t>三、</w:t>
            </w:r>
            <w:r>
              <w:rPr>
                <w:rFonts w:ascii="仿宋_GB2312" w:hAnsi="仿宋_GB2312" w:cs="仿宋_GB2312" w:eastAsia="仿宋_GB2312"/>
                <w:sz w:val="24"/>
                <w:b/>
                <w:color w:val="222222"/>
              </w:rPr>
              <w:t>编制依据</w:t>
            </w:r>
          </w:p>
          <w:p>
            <w:pPr>
              <w:pStyle w:val="null3"/>
              <w:ind w:firstLine="480"/>
              <w:jc w:val="both"/>
            </w:pPr>
            <w:r>
              <w:rPr>
                <w:rFonts w:ascii="仿宋_GB2312" w:hAnsi="仿宋_GB2312" w:cs="仿宋_GB2312" w:eastAsia="仿宋_GB2312"/>
                <w:sz w:val="24"/>
              </w:rPr>
              <w:t>1、《中华人民共和国土地管理法》；</w:t>
            </w:r>
          </w:p>
          <w:p>
            <w:pPr>
              <w:pStyle w:val="null3"/>
              <w:ind w:firstLine="480"/>
              <w:jc w:val="both"/>
            </w:pPr>
            <w:r>
              <w:rPr>
                <w:rFonts w:ascii="仿宋_GB2312" w:hAnsi="仿宋_GB2312" w:cs="仿宋_GB2312" w:eastAsia="仿宋_GB2312"/>
                <w:sz w:val="24"/>
              </w:rPr>
              <w:t>2、《中华人民共和国土地管理法实施条例》；</w:t>
            </w:r>
          </w:p>
          <w:p>
            <w:pPr>
              <w:pStyle w:val="null3"/>
              <w:ind w:firstLine="480"/>
              <w:jc w:val="both"/>
            </w:pPr>
            <w:r>
              <w:rPr>
                <w:rFonts w:ascii="仿宋_GB2312" w:hAnsi="仿宋_GB2312" w:cs="仿宋_GB2312" w:eastAsia="仿宋_GB2312"/>
                <w:sz w:val="24"/>
              </w:rPr>
              <w:t>3、国土资源部关于修改《建设用地审查报批管理办法》的决定(2016年国土部第69号令)；</w:t>
            </w:r>
          </w:p>
          <w:p>
            <w:pPr>
              <w:pStyle w:val="null3"/>
              <w:ind w:firstLine="480"/>
              <w:jc w:val="both"/>
            </w:pPr>
            <w:r>
              <w:rPr>
                <w:rFonts w:ascii="仿宋_GB2312" w:hAnsi="仿宋_GB2312" w:cs="仿宋_GB2312" w:eastAsia="仿宋_GB2312"/>
                <w:sz w:val="24"/>
              </w:rPr>
              <w:t>4、陕西省自然资源厅办公室关于进一步规范建设用地组件报批文本格式的通知（陕自然资办发〔2025</w:t>
            </w:r>
            <w:r>
              <w:rPr>
                <w:rFonts w:ascii="仿宋_GB2312" w:hAnsi="仿宋_GB2312" w:cs="仿宋_GB2312" w:eastAsia="仿宋_GB2312"/>
                <w:sz w:val="24"/>
              </w:rPr>
              <w:t>〕</w:t>
            </w:r>
            <w:r>
              <w:rPr>
                <w:rFonts w:ascii="仿宋_GB2312" w:hAnsi="仿宋_GB2312" w:cs="仿宋_GB2312" w:eastAsia="仿宋_GB2312"/>
                <w:sz w:val="24"/>
              </w:rPr>
              <w:t>229号）；</w:t>
            </w:r>
          </w:p>
          <w:p>
            <w:pPr>
              <w:pStyle w:val="null3"/>
              <w:ind w:firstLine="480"/>
              <w:jc w:val="both"/>
            </w:pPr>
            <w:r>
              <w:rPr>
                <w:rFonts w:ascii="仿宋_GB2312" w:hAnsi="仿宋_GB2312" w:cs="仿宋_GB2312" w:eastAsia="仿宋_GB2312"/>
                <w:sz w:val="24"/>
              </w:rPr>
              <w:t>5、《土地勘测定界规程》(TD/T1008-2007)；</w:t>
            </w:r>
          </w:p>
          <w:p>
            <w:pPr>
              <w:pStyle w:val="null3"/>
              <w:ind w:firstLine="480"/>
              <w:jc w:val="both"/>
            </w:pPr>
            <w:r>
              <w:rPr>
                <w:rFonts w:ascii="仿宋_GB2312" w:hAnsi="仿宋_GB2312" w:cs="仿宋_GB2312" w:eastAsia="仿宋_GB2312"/>
                <w:sz w:val="24"/>
              </w:rPr>
              <w:t>6、《土地利用现状分类》(GB/T21010-2017)；</w:t>
            </w:r>
          </w:p>
          <w:p>
            <w:pPr>
              <w:pStyle w:val="null3"/>
              <w:ind w:firstLine="480"/>
              <w:jc w:val="both"/>
            </w:pPr>
            <w:r>
              <w:rPr>
                <w:rFonts w:ascii="仿宋_GB2312" w:hAnsi="仿宋_GB2312" w:cs="仿宋_GB2312" w:eastAsia="仿宋_GB2312"/>
                <w:sz w:val="24"/>
              </w:rPr>
              <w:t>7、《第三次全国国土调查技术规程》(TD/T 1055-2019)；</w:t>
            </w:r>
          </w:p>
          <w:p>
            <w:pPr>
              <w:pStyle w:val="null3"/>
              <w:ind w:firstLine="482"/>
              <w:jc w:val="left"/>
            </w:pPr>
            <w:r>
              <w:rPr>
                <w:rFonts w:ascii="仿宋_GB2312" w:hAnsi="仿宋_GB2312" w:cs="仿宋_GB2312" w:eastAsia="仿宋_GB2312"/>
                <w:sz w:val="24"/>
                <w:b/>
                <w:color w:val="222222"/>
              </w:rPr>
              <w:t>四、</w:t>
            </w:r>
            <w:r>
              <w:rPr>
                <w:rFonts w:ascii="仿宋_GB2312" w:hAnsi="仿宋_GB2312" w:cs="仿宋_GB2312" w:eastAsia="仿宋_GB2312"/>
                <w:sz w:val="24"/>
                <w:b/>
                <w:color w:val="222222"/>
              </w:rPr>
              <w:t>成果要求</w:t>
            </w:r>
          </w:p>
          <w:p>
            <w:pPr>
              <w:pStyle w:val="null3"/>
              <w:ind w:firstLine="480"/>
              <w:jc w:val="both"/>
            </w:pPr>
            <w:r>
              <w:rPr>
                <w:rFonts w:ascii="仿宋_GB2312" w:hAnsi="仿宋_GB2312" w:cs="仿宋_GB2312" w:eastAsia="仿宋_GB2312"/>
                <w:sz w:val="24"/>
              </w:rPr>
              <w:t>成果交付要求：</w:t>
            </w:r>
            <w:r>
              <w:rPr>
                <w:rFonts w:ascii="仿宋_GB2312" w:hAnsi="仿宋_GB2312" w:cs="仿宋_GB2312" w:eastAsia="仿宋_GB2312"/>
                <w:sz w:val="24"/>
              </w:rPr>
              <w:t>完成勘测定界报告编制，</w:t>
            </w:r>
            <w:r>
              <w:rPr>
                <w:rFonts w:ascii="仿宋_GB2312" w:hAnsi="仿宋_GB2312" w:cs="仿宋_GB2312" w:eastAsia="仿宋_GB2312"/>
                <w:sz w:val="24"/>
              </w:rPr>
              <w:t>并通过行业主管部门审批，取得</w:t>
            </w:r>
            <w:r>
              <w:rPr>
                <w:rFonts w:ascii="仿宋_GB2312" w:hAnsi="仿宋_GB2312" w:cs="仿宋_GB2312" w:eastAsia="仿宋_GB2312"/>
                <w:sz w:val="24"/>
              </w:rPr>
              <w:t>主管部门验收意见表；</w:t>
            </w:r>
          </w:p>
          <w:p>
            <w:pPr>
              <w:pStyle w:val="null3"/>
              <w:ind w:firstLine="482"/>
              <w:jc w:val="left"/>
            </w:pPr>
            <w:r>
              <w:rPr>
                <w:rFonts w:ascii="仿宋_GB2312" w:hAnsi="仿宋_GB2312" w:cs="仿宋_GB2312" w:eastAsia="仿宋_GB2312"/>
                <w:sz w:val="24"/>
                <w:b/>
                <w:color w:val="222222"/>
              </w:rPr>
              <w:t>五、</w:t>
            </w:r>
            <w:r>
              <w:rPr>
                <w:rFonts w:ascii="仿宋_GB2312" w:hAnsi="仿宋_GB2312" w:cs="仿宋_GB2312" w:eastAsia="仿宋_GB2312"/>
                <w:sz w:val="24"/>
                <w:b/>
                <w:color w:val="222222"/>
              </w:rPr>
              <w:t>其他要求</w:t>
            </w:r>
          </w:p>
          <w:p>
            <w:pPr>
              <w:pStyle w:val="null3"/>
              <w:ind w:firstLine="480"/>
            </w:pPr>
            <w:r>
              <w:rPr>
                <w:rFonts w:ascii="仿宋_GB2312" w:hAnsi="仿宋_GB2312" w:cs="仿宋_GB2312" w:eastAsia="仿宋_GB2312"/>
                <w:sz w:val="24"/>
              </w:rPr>
              <w:t>1、服务期限：</w:t>
            </w:r>
            <w:r>
              <w:rPr>
                <w:rFonts w:ascii="仿宋_GB2312" w:hAnsi="仿宋_GB2312" w:cs="仿宋_GB2312" w:eastAsia="仿宋_GB2312"/>
                <w:sz w:val="24"/>
              </w:rPr>
              <w:t>依据资料清单收到甲方提供符合要求的完整资料后，</w:t>
            </w:r>
            <w:r>
              <w:rPr>
                <w:rFonts w:ascii="仿宋_GB2312" w:hAnsi="仿宋_GB2312" w:cs="仿宋_GB2312" w:eastAsia="仿宋_GB2312"/>
                <w:sz w:val="24"/>
              </w:rPr>
              <w:t>180个日历天内完成工作</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需配备项目负责人及其技术团队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依据资料清单收到甲方提供符合要求的完整资料后，180个日历天内完成工作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乙方完成项目勘测定界报告编制后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乙方取得勘测定界报告验收单，并完成所有手续后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法定代表人参加投标的，提供本人身份证复印件并出示身份证原件；法定代表人授权他人参加投标的，提供法定代表人授权委托书并出示被授权代表的身份证原件；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投标供应商应具备行政主管部门颁发的合法有效的乙级及以上（含乙级）测绘资质；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服务内容及服务邀请应答表 中小企业声明函 近年类似业绩一览表.docx 商务应答表 报价表 响应文件封面 供应商应提交的相关资格证明材料.docx 拟投入本项目人员配置情况表.docx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服务内容及服务邀请应答表 中小企业声明函 近年类似业绩一览表.docx 商务应答表 报价表 响应文件封面 供应商应提交的相关资格证明材料.docx 拟投入本项目人员配置情况表.docx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提供2023年1月1日以来类似项目的业绩，每个2.5分，满分5分。 注：近3年(2023年1月1日以来)，以合同签订时间为准的业绩，需提供合同复印件，并加盖供应商企业公章。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（1）项目负责人具有高级及以上技术职称或同等专业水平证书等证明材料得4分； （2）拟派本项目技术团队成员中具有中级或以上职称的，每提供一个得1分，最高6分；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项目理解内容包括但不限于：①本项目的理解；②对国家相关领域政策、标准的掌握；③项目关键点的分析和控制策略。 评审标准：上述每项方案内容无缺陷得5分，满分为15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内容包括但不限于：①服务总体设想及目标；②总体实施方案；③外业调查及收集方案；④档案管理；⑤设施设备配备；⑥成果编制方案；⑦资料收集及批复方案；⑧确保项目实施过程中配合、协调管理措施。 评审标准：上述每项方案内容无缺陷得5分，满分为40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项目进度控制方案</w:t>
            </w:r>
          </w:p>
        </w:tc>
        <w:tc>
          <w:tcPr>
            <w:tcW w:type="dxa" w:w="2492"/>
          </w:tcPr>
          <w:p>
            <w:pPr>
              <w:pStyle w:val="null3"/>
            </w:pPr>
            <w:r>
              <w:rPr>
                <w:rFonts w:ascii="仿宋_GB2312" w:hAnsi="仿宋_GB2312" w:cs="仿宋_GB2312" w:eastAsia="仿宋_GB2312"/>
              </w:rPr>
              <w:t>项目实施进度计划内容内容包括但不限于：①成果交付进度控制方案；②服务期进度控制方案； 评审标准：上述每项方案内容无缺陷得4分，满分为8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质量保证措施内容包括但不限于：①质量保证措施②进度保证措施③安全保证措施 评审标准：上述每项方案内容无缺陷得4分，满分为12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1、满足磋商文件要求且最后报价经评审后价格最低的为磋商基准价，其价格分为满分。其他供应商的价格分统一按照下列公式计算： 磋商报价得分=(评标基准价／磋商报价)×10×100％(分值保留小数点后2位)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详见附件：近年类似业绩一览表.docx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