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版本号：SXJC-ZC-2026002.1B120260225001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洋县范窑路溢水镇405段改扩建项目用地组卷报批技术服务项目(二次)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SXJC-ZC-2026002.1B1</w:t>
      </w:r>
      <w:r>
        <w:br/>
      </w:r>
      <w:r>
        <w:br/>
      </w:r>
      <w:r>
        <w:br/>
      </w:r>
    </w:p>
    <w:p>
      <w:pPr>
        <w:pStyle w:val="null3"/>
        <w:jc w:val="center"/>
        <w:outlineLvl w:val="2"/>
      </w:pPr>
      <w:r>
        <w:rPr>
          <w:rFonts w:ascii="仿宋_GB2312" w:hAnsi="仿宋_GB2312" w:cs="仿宋_GB2312" w:eastAsia="仿宋_GB2312"/>
          <w:sz w:val="28"/>
          <w:b/>
        </w:rPr>
        <w:t>洋县经济贸易局（机关）</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洋县经济贸易局（机关）</w:t>
      </w:r>
      <w:r>
        <w:rPr>
          <w:rFonts w:ascii="仿宋_GB2312" w:hAnsi="仿宋_GB2312" w:cs="仿宋_GB2312" w:eastAsia="仿宋_GB2312"/>
        </w:rPr>
        <w:t>委托，拟对</w:t>
      </w:r>
      <w:r>
        <w:rPr>
          <w:rFonts w:ascii="仿宋_GB2312" w:hAnsi="仿宋_GB2312" w:cs="仿宋_GB2312" w:eastAsia="仿宋_GB2312"/>
        </w:rPr>
        <w:t>洋县范窑路溢水镇405段改扩建项目用地组卷报批技术服务项目(二次)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SXJC-ZC-2026002.1B1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洋县范窑路溢水镇405段改扩建项目用地组卷报批技术服务项目(二次)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洋县范窑路溢水镇405段改扩建项目用地组卷报批技术服务等相关工作，包含从资料收集、用地预审与选址、勘测定界、地质灾害与社会稳定风险评估，到用地组卷整理上报审批，并按陕西省自然资源厅要求修改完善材料，直至取得省、市关于建设用地批复许可文件的全流程技术服务。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采购包1（洋县范窑路溢水镇405段改扩建项目用地组卷报批技术服务项目）：属于专门面向中小企业采购。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3、资质证明：供应商需具备土地规划乙级及以上资质或测绘乙级及以上资质；拟派往本项目的项目负责人需具备相关专业中级及以上技术职称。</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洋县经济贸易局（机关）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陕西省洋县和平路3号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洋县经济贸易局（机关）</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洋县经济贸易局（机关）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洋县经济贸易局（机关）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全流程服务符合国家、省、市现行建设用地组卷报批相关技术规范及规程，最终取得省、市关于建设用地的正式批复文件为核心质量标准，所有成果资料需通过采购方及相关行政部门审核。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洋县范窑路溢水镇405段改扩建项目用地组卷报批技术服务等相关工作，包含从资料收集、用地预审与选址、勘测定界、地质灾害与社会稳定风险评估，到用地组卷整理上报审批，并按陕西省自然资源厅要求修改完善材料，直至取得省、市关于建设用地批复许可文件的全流程技术服务。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洋县范窑路溢水镇405段改扩建项目用地组卷报批技术服务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标的名称：洋县范窑路溢水镇405段改扩建项目用地组卷报批技术服务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 xml:space="preserve">   一、服务内容</w:t>
            </w:r>
          </w:p>
          <w:p>
            <w:pPr>
              <w:pStyle w:val="null3"/>
              <w:ind w:firstLine="420"/>
              <w:jc w:val="both"/>
            </w:pPr>
            <w:r>
              <w:rPr>
                <w:rFonts w:ascii="仿宋_GB2312" w:hAnsi="仿宋_GB2312" w:cs="仿宋_GB2312" w:eastAsia="仿宋_GB2312"/>
                <w:sz w:val="21"/>
              </w:rPr>
              <w:t>本项目主要内容为洋县范窑路溢水镇</w:t>
            </w:r>
            <w:r>
              <w:rPr>
                <w:rFonts w:ascii="仿宋_GB2312" w:hAnsi="仿宋_GB2312" w:cs="仿宋_GB2312" w:eastAsia="仿宋_GB2312"/>
                <w:sz w:val="21"/>
              </w:rPr>
              <w:t>405</w:t>
            </w:r>
            <w:r>
              <w:rPr>
                <w:rFonts w:ascii="仿宋_GB2312" w:hAnsi="仿宋_GB2312" w:cs="仿宋_GB2312" w:eastAsia="仿宋_GB2312"/>
                <w:sz w:val="21"/>
              </w:rPr>
              <w:t>段改扩建项目用地组卷报批技术服务等相关工作，包含从资料收集、用地预审与选址、勘测定界、地质灾害与社会稳定风险评估，到用地组卷整理上报审批，并按陕西省自然资源厅要求修改完善材料，直至取得省、市关于建设用地批复许可文件的全流程技术服务。具体内容详见磋商文件。</w:t>
            </w:r>
          </w:p>
          <w:p>
            <w:pPr>
              <w:pStyle w:val="null3"/>
              <w:ind w:firstLine="420"/>
              <w:jc w:val="both"/>
            </w:pPr>
            <w:r>
              <w:rPr>
                <w:rFonts w:ascii="仿宋_GB2312" w:hAnsi="仿宋_GB2312" w:cs="仿宋_GB2312" w:eastAsia="仿宋_GB2312"/>
                <w:sz w:val="21"/>
                <w:b/>
              </w:rPr>
              <w:t>二、服务要求</w:t>
            </w:r>
          </w:p>
          <w:p>
            <w:pPr>
              <w:pStyle w:val="null3"/>
              <w:ind w:firstLine="420"/>
              <w:jc w:val="left"/>
            </w:pPr>
            <w:r>
              <w:rPr>
                <w:rFonts w:ascii="仿宋_GB2312" w:hAnsi="仿宋_GB2312" w:cs="仿宋_GB2312" w:eastAsia="仿宋_GB2312"/>
                <w:sz w:val="21"/>
              </w:rPr>
              <w:t>质量要求：全流程服务符合国家、省、市现行建设用地组卷报批相关技术规范及规程，最终取得省、市关于建设用地的正式批复文件</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责任要求：对项目资料和数据严格保密，全程对服务成果质量负责，配合核查、验收。</w:t>
            </w:r>
          </w:p>
          <w:p>
            <w:pPr>
              <w:pStyle w:val="null3"/>
              <w:ind w:firstLine="420"/>
              <w:jc w:val="left"/>
            </w:pPr>
            <w:r>
              <w:rPr>
                <w:rFonts w:ascii="仿宋_GB2312" w:hAnsi="仿宋_GB2312" w:cs="仿宋_GB2312" w:eastAsia="仿宋_GB2312"/>
                <w:sz w:val="21"/>
              </w:rPr>
              <w:t>协作要求：建立高效沟通机制，每周向采购方书面汇报进展；</w:t>
            </w:r>
            <w:r>
              <w:rPr>
                <w:rFonts w:ascii="仿宋_GB2312" w:hAnsi="仿宋_GB2312" w:cs="仿宋_GB2312" w:eastAsia="仿宋_GB2312"/>
                <w:sz w:val="21"/>
              </w:rPr>
              <w:t>3</w:t>
            </w:r>
            <w:r>
              <w:rPr>
                <w:rFonts w:ascii="仿宋_GB2312" w:hAnsi="仿宋_GB2312" w:cs="仿宋_GB2312" w:eastAsia="仿宋_GB2312"/>
                <w:sz w:val="21"/>
              </w:rPr>
              <w:t>个工作日内答复采购方疑问；</w:t>
            </w:r>
            <w:r>
              <w:rPr>
                <w:rFonts w:ascii="仿宋_GB2312" w:hAnsi="仿宋_GB2312" w:cs="仿宋_GB2312" w:eastAsia="仿宋_GB2312"/>
                <w:sz w:val="21"/>
              </w:rPr>
              <w:t>未经采购方允许</w:t>
            </w:r>
            <w:r>
              <w:rPr>
                <w:rFonts w:ascii="仿宋_GB2312" w:hAnsi="仿宋_GB2312" w:cs="仿宋_GB2312" w:eastAsia="仿宋_GB2312"/>
                <w:sz w:val="21"/>
              </w:rPr>
              <w:t>不得擅自更换项目负责人。</w:t>
            </w:r>
          </w:p>
          <w:p>
            <w:pPr>
              <w:pStyle w:val="null3"/>
              <w:ind w:firstLine="420"/>
              <w:jc w:val="left"/>
            </w:pPr>
            <w:r>
              <w:rPr>
                <w:rFonts w:ascii="仿宋_GB2312" w:hAnsi="仿宋_GB2312" w:cs="仿宋_GB2312" w:eastAsia="仿宋_GB2312"/>
                <w:sz w:val="21"/>
                <w:b/>
              </w:rPr>
              <w:t>三、服务期限</w:t>
            </w:r>
          </w:p>
          <w:p>
            <w:pPr>
              <w:pStyle w:val="null3"/>
              <w:ind w:firstLine="420"/>
              <w:jc w:val="both"/>
            </w:pPr>
            <w:r>
              <w:rPr>
                <w:rFonts w:ascii="仿宋_GB2312" w:hAnsi="仿宋_GB2312" w:cs="仿宋_GB2312" w:eastAsia="仿宋_GB2312"/>
                <w:sz w:val="21"/>
              </w:rPr>
              <w:t>合同签订之日起</w:t>
            </w:r>
            <w:r>
              <w:rPr>
                <w:rFonts w:ascii="仿宋_GB2312" w:hAnsi="仿宋_GB2312" w:cs="仿宋_GB2312" w:eastAsia="仿宋_GB2312"/>
                <w:sz w:val="21"/>
              </w:rPr>
              <w:t>100</w:t>
            </w:r>
            <w:r>
              <w:rPr>
                <w:rFonts w:ascii="仿宋_GB2312" w:hAnsi="仿宋_GB2312" w:cs="仿宋_GB2312" w:eastAsia="仿宋_GB2312"/>
                <w:sz w:val="21"/>
              </w:rPr>
              <w:t>日历天内。</w:t>
            </w:r>
          </w:p>
          <w:p>
            <w:pPr>
              <w:pStyle w:val="null3"/>
              <w:ind w:firstLine="420"/>
              <w:jc w:val="both"/>
            </w:pPr>
            <w:r>
              <w:rPr>
                <w:rFonts w:ascii="仿宋_GB2312" w:hAnsi="仿宋_GB2312" w:cs="仿宋_GB2312" w:eastAsia="仿宋_GB2312"/>
                <w:sz w:val="21"/>
                <w:b/>
              </w:rPr>
              <w:t>四、服务标准</w:t>
            </w:r>
          </w:p>
          <w:p>
            <w:pPr>
              <w:pStyle w:val="null3"/>
              <w:ind w:firstLine="420"/>
              <w:jc w:val="both"/>
            </w:pPr>
            <w:r>
              <w:rPr>
                <w:rFonts w:ascii="仿宋_GB2312" w:hAnsi="仿宋_GB2312" w:cs="仿宋_GB2312" w:eastAsia="仿宋_GB2312"/>
                <w:sz w:val="21"/>
              </w:rPr>
              <w:t>成果质量标准：所有成果资料需通过采购方及相关行政部门审核，最终取得省、市关于建设用地的正式批复文件为核心质量标准。</w:t>
            </w:r>
          </w:p>
          <w:p>
            <w:pPr>
              <w:pStyle w:val="null3"/>
              <w:ind w:firstLine="420"/>
              <w:jc w:val="both"/>
            </w:pPr>
            <w:r>
              <w:rPr>
                <w:rFonts w:ascii="仿宋_GB2312" w:hAnsi="仿宋_GB2312" w:cs="仿宋_GB2312" w:eastAsia="仿宋_GB2312"/>
                <w:sz w:val="21"/>
              </w:rPr>
              <w:t>技术规范标准：必须严格遵守省、市关于建设用地审查报批管理办法及规定、《陕西省勘测定界技术要则》，评估报告编制符合相关技术规范，组卷材料符合陕西省自然资源厅报批要求等相关国家及地方技术规范、规程等。</w:t>
            </w:r>
          </w:p>
          <w:p>
            <w:pPr>
              <w:pStyle w:val="null3"/>
              <w:ind w:firstLine="420"/>
              <w:jc w:val="both"/>
            </w:pPr>
            <w:r>
              <w:rPr>
                <w:rFonts w:ascii="仿宋_GB2312" w:hAnsi="仿宋_GB2312" w:cs="仿宋_GB2312" w:eastAsia="仿宋_GB2312"/>
                <w:sz w:val="21"/>
              </w:rPr>
              <w:t>交付成果标准：需交付</w:t>
            </w:r>
            <w:r>
              <w:rPr>
                <w:rFonts w:ascii="仿宋_GB2312" w:hAnsi="仿宋_GB2312" w:cs="仿宋_GB2312" w:eastAsia="仿宋_GB2312"/>
                <w:sz w:val="21"/>
              </w:rPr>
              <w:t>7</w:t>
            </w:r>
            <w:r>
              <w:rPr>
                <w:rFonts w:ascii="仿宋_GB2312" w:hAnsi="仿宋_GB2312" w:cs="仿宋_GB2312" w:eastAsia="仿宋_GB2312"/>
                <w:sz w:val="21"/>
              </w:rPr>
              <w:t>类成果文件，包括用地预审与选址相关成果文件、勘测定界报告及相关图件、地质灾害危险性评估报告、社会稳定风险评估报告、用地组卷报批全套材料、省、市关于本项目建设用地的正式批复文件、外业调查、测绘、评估等相关原始佐证资料，均为纸质版</w:t>
            </w:r>
            <w:r>
              <w:rPr>
                <w:rFonts w:ascii="仿宋_GB2312" w:hAnsi="仿宋_GB2312" w:cs="仿宋_GB2312" w:eastAsia="仿宋_GB2312"/>
                <w:sz w:val="21"/>
              </w:rPr>
              <w:t>4</w:t>
            </w:r>
            <w:r>
              <w:rPr>
                <w:rFonts w:ascii="仿宋_GB2312" w:hAnsi="仿宋_GB2312" w:cs="仿宋_GB2312" w:eastAsia="仿宋_GB2312"/>
                <w:sz w:val="21"/>
              </w:rPr>
              <w:t>套、电子版</w:t>
            </w: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服务方按项目服务要求及特性，自行组织项目实施与管理，建立以项目负责人为核心的服务团队，实行项目负责人责任制，相关人员经过严格培训，能够胜任项目工作，保证项目顺利实施。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包干费用已涵盖服务全流程的人工、材料、设备、交通、通讯、印制、协调、税费等所有相关成本，采购方无需额外支付其他费用；超出原服务范围的调整（如项目红线重大变更、报批标准额外增加、新增专项评估事项等）产生的费用，不包含在本包干费用内，需双方另行协商确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质量要求：全流程服务符合国家、省、市现行建设用地组卷报批相关技术规范及规程，最终取得省、市关于建设用地的正式批复文件为核心质量标准，所有成果资料需通过采购方及相关行政部门审核。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服务提供方完成建设用地组卷报批并报送至省自然资源厅，至取得关于建设用地批复许可文件后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若供应商未按时提交成果或成果质量不达标，按合同总金额的0.5%/天支付违约金；争议优先通过协商解决，协商不成可向采购单位所在地法院提起诉讼。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的磋商报价是供应商响应磋商项目要求的全部工作内容的价格体现，包括供应商完成本项目所需的直接费、间接费、利润、税金及其它相关的一切费用；包括但不限于乙方完成本项目的人工费、保险费、交通费、食宿费、评审费、报批费、评估费、服务费、管理费、验收费、资料费、利润、税金和采购代理服务费等一切为完成本项目所产生、支出的全部费用。在提供服务过程中的任何费用遗漏，均包含在成交总价中，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供应商需具备土地规划乙级及以上资质或测绘乙级及以上资质；拟派往本项目的项目负责人需具备相关专业中级及以上技术职称。</w:t>
            </w:r>
          </w:p>
        </w:tc>
        <w:tc>
          <w:tcPr>
            <w:tcW w:type="dxa" w:w="1661"/>
          </w:tcPr>
          <w:p>
            <w:pPr>
              <w:pStyle w:val="null3"/>
            </w:pPr>
            <w:r>
              <w:rPr>
                <w:rFonts w:ascii="仿宋_GB2312" w:hAnsi="仿宋_GB2312" w:cs="仿宋_GB2312" w:eastAsia="仿宋_GB2312"/>
              </w:rPr>
              <w:t>资质证明.docx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完全响应磋商文件第三章所有带★的实质性要求</w:t>
            </w:r>
          </w:p>
        </w:tc>
        <w:tc>
          <w:tcPr>
            <w:tcW w:type="dxa" w:w="1661"/>
          </w:tcPr>
          <w:p>
            <w:pPr>
              <w:pStyle w:val="null3"/>
            </w:pPr>
            <w:r>
              <w:rPr>
                <w:rFonts w:ascii="仿宋_GB2312" w:hAnsi="仿宋_GB2312" w:cs="仿宋_GB2312" w:eastAsia="仿宋_GB2312"/>
              </w:rPr>
              <w:t>服务内容及服务邀请应答表.docx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合同签订之日起100日历天内。</w:t>
            </w:r>
          </w:p>
        </w:tc>
        <w:tc>
          <w:tcPr>
            <w:tcW w:type="dxa" w:w="1661"/>
          </w:tcPr>
          <w:p>
            <w:pPr>
              <w:pStyle w:val="null3"/>
            </w:pPr>
            <w:r>
              <w:rPr>
                <w:rFonts w:ascii="仿宋_GB2312" w:hAnsi="仿宋_GB2312" w:cs="仿宋_GB2312" w:eastAsia="仿宋_GB2312"/>
              </w:rPr>
              <w:t>标的清单 报价表 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有效的主体资格证明.docx 中小企业声明函 报价表 商务应答表.docx 汉中市政府采购供应商资格承诺函.docx 供应商业绩证明材料.docx 响应文件封面 残疾人福利性单位声明函 服务方案 标的清单 服务内容及服务邀请应答表.docx 响应函 法定代表人身份证明或法定代表人授权委托书.docx 资质证明.docx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供应商具有近3年（2023年1月1日至今（以合同签订时间为准）的承担过类似项目（建设用地组卷报批技术服务类）业绩，每提供一项得2.5分，最高得5分。 注：响应文件中应附供中标（成交）通知书或合同协议书扫描件，其中合同协议书至少应包含项目名称、服务内容、合同金额、双方签字盖章页，否则不予认可。）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供应商业绩证明材料.docx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的特点提供总体的项目实施方案（包括但不限于：①土地报批政策解读；②服务总体设想及目标；③土地报批工作流程；④土地报批组卷资料的编制提交等），根据方案的完整性、可实施性、针对性综合评审。 二、评审标准：1、完整性：方案须全面，对评审内容中的各项要求有详细描述及说明； 2、可实施性：切合本项目实际情况，实施步骤清晰、合理； 3、针对性：方案能够紧扣项目实际情况，内容科学合理。 三、赋分标准：①土地报批政策解读（0-3分，按完整性、可实施性、针对性3项标准评分）；②服务总体设想及目标（0-3分，按完整性、可实施性、针对性3项标准评分）；③土地报批工作流程（0-3分，按完整性、可实施性、针对性3项标准评分）；④土地报批组卷资料的编制提交（0-3分，按完整性、可实施性、针对性3项标准评分）；计分规则（通用，适用于以上4项评审内容）1、完整性、可实施性、针对性3项标准均完全满足得2-3分；2、2项完全满足+1项基本满足得1-2分；3、1项完全满足+2项基本满足/3项均基本满足得0.5-1分；4、3项标准均不满足（无有效响应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项目关键点的分析和控制策略</w:t>
            </w:r>
          </w:p>
        </w:tc>
        <w:tc>
          <w:tcPr>
            <w:tcW w:type="dxa" w:w="2492"/>
          </w:tcPr>
          <w:p>
            <w:pPr>
              <w:pStyle w:val="null3"/>
            </w:pPr>
            <w:r>
              <w:rPr>
                <w:rFonts w:ascii="仿宋_GB2312" w:hAnsi="仿宋_GB2312" w:cs="仿宋_GB2312" w:eastAsia="仿宋_GB2312"/>
              </w:rPr>
              <w:t>一、评审内容： 针对本项目提出关键点的分析和策略控制方案，方案内容包含：①项目关键点分析；②策略控制的具体措施。 二、评审标准：1、完整性：方案全面，梳理出项目关键点，并给出控制策略，对评审内容中的各项要求有详细描述及说明；2、可实施性：切合本项目实际情况，实施步骤清晰、合理；3、针对性：方案能够紧扣项目实际情况，内容科学合理。 三、赋分标准：①项目关键点分析（0-6分，按完整性、可实施性、针对性3项标准评分）；②策略控制的具体措施（0-6分，按完整性、可实施性、针对性3项标准评分）；计分规则（通用，适用于以上2项评审内容）1、完整性、可实施性、针对性3项标准均完全满足得4-6分；2、2项完全满足+1项基本满足得2-4分；3、1项完全满足+2项基本满足/3项均基本满足得1-2分；4、3项标准均不满足（无有效响应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一、评审内容：针对本项目提出进度控制方案，内容包含：①成果交付进度控制方案；②服务期进度控制方案。 二、评审标准：1、完整性：方案全面，梳理出项目关键点，并给出控制策略，对评审内容中的各项要求有详细描述及说明； 2、可实施性：切合本项目实际情况，实施步骤清晰、合理； 3、针对性：方案能够紧扣项目实际情况，内容科学合理。 三、赋分标准： ①成果交付进度控制方案（0-6分，按完整性、可实施性、针对性3项标准评分） ②服务期进度控制方案（0-6分，按完整性、可实施性、针对性3项标准评分）；计分规则（通用，适用于以上2项评审内容）1、完整性、可实施性、针对性3项标准均完全满足得4-6分；2、2项完全满足+1项基本满足得2-4分；3、1项完全满足+2项基本满足/3项均基本满足得1-2分；4、3项标准均不满足（无有效响应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一、评审内容：针对本项目提出详细的质量、进度、安全保证措施，方案包含：①质量保证措施；②进度保证措施；③安全保证措施。 二、评审标准：1、完整性：内容须全面，对评审内容中的各项要求有详细描述及说明； 2、可实施性：切合本项目实际情况，实施步骤清晰、合理； 3、针对性：内容能够紧扣项目实际情况，科学合理。 三、赋分标准： ①质量保证措施（0-3分，按完整性、可实施性、针对性3项标准评分）； ②进度保证措施（0-3分，按完整性、可实施性、针对性3项标准评分）； ③安全保证措施（0-3分，按完整性、可实施性、针对性3项标准评分）；计分规则（通用，适用于以上3项评审内容）1、完整性、可实施性、针对性3项标准均完全满足得2-3分；2、2项完全满足+1项基本满足得1-2分；3、1项完全满足+2项基本满足/3项均基本满足得0.5-1分；4、3项标准均不满足（无有效响应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外业调查及收集方案</w:t>
            </w:r>
          </w:p>
        </w:tc>
        <w:tc>
          <w:tcPr>
            <w:tcW w:type="dxa" w:w="2492"/>
          </w:tcPr>
          <w:p>
            <w:pPr>
              <w:pStyle w:val="null3"/>
            </w:pPr>
            <w:r>
              <w:rPr>
                <w:rFonts w:ascii="仿宋_GB2312" w:hAnsi="仿宋_GB2312" w:cs="仿宋_GB2312" w:eastAsia="仿宋_GB2312"/>
              </w:rPr>
              <w:t>一、评审内容：针对本项目提供外业调查及收集方案，方案包含：①外业调查相关设备仪器（需提供配置清单）。②调查流程及调查数据收集。 二、评审标准：1、完整性：方案全面，梳理出项目关键点，对评审内容中的各项要求有详细描述及说明； 2、合理性：切合本项目实际情况； 3、针对性：方案能够紧扣项目实际情况，内容科学合理。 三、赋分标准： ①外业调查相关设备仪器（0-5分，按完整性、合理性、针对性3项标准评分）需提供配置清单；②调查流程及调查数据收集（0-5分，按完整性、合理性、针对性3项标准评分）；计分规则（通用，适用于以上2项评审内容）1、完整性、合理性、针对性3项标准均完全满足得4-5分；2、2项完全满足+1项基本满足得2-4分；3、1项完全满足+2项基本满足/3项均基本满足得2-1分；4、3项标准均不满足（无有效响应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成果编制方案</w:t>
            </w:r>
          </w:p>
        </w:tc>
        <w:tc>
          <w:tcPr>
            <w:tcW w:type="dxa" w:w="2492"/>
          </w:tcPr>
          <w:p>
            <w:pPr>
              <w:pStyle w:val="null3"/>
            </w:pPr>
            <w:r>
              <w:rPr>
                <w:rFonts w:ascii="仿宋_GB2312" w:hAnsi="仿宋_GB2312" w:cs="仿宋_GB2312" w:eastAsia="仿宋_GB2312"/>
              </w:rPr>
              <w:t>一、评审内容：针对本项目提出的成果编制方案：①提交的相关组卷资料必须政策法规要求及国家、行业及陕西省相关标准、规范的规定；②提交的相关组卷资料通过专家评审。 二、评审标准：1、完整性：方案全面，梳理出项目关键点，对评审内容中的各项要求有详细描述及说明；2、可实施性：切合本项目实际情况，实施步骤清晰、合理；3、针对性：方案能够紧扣项目实际情况，内容科学合理。 三、赋分标准： ①提交的相关组卷资料必须政策法规要求及国家、行业及陕西省相关标准、规范的规定（0-6分，按完整性、可实施性、针对性3项标准评分）；②提交的相关组卷资料通过专家评审（0-6分，按完整性、可实施性、针对性3项标准评分）；计分规则（通用，适用于以上2项评审内容）1、完整性、可实施性、针对性3项标准均完全满足得4-6分；2、2项完全满足+1项基本满足得2-4分；3、1项完全满足+2项基本满足/3项均基本满足得1-2分；4、3项标准均不满足（无有效响应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资料收集及批复方案</w:t>
            </w:r>
          </w:p>
        </w:tc>
        <w:tc>
          <w:tcPr>
            <w:tcW w:type="dxa" w:w="2492"/>
          </w:tcPr>
          <w:p>
            <w:pPr>
              <w:pStyle w:val="null3"/>
            </w:pPr>
            <w:r>
              <w:rPr>
                <w:rFonts w:ascii="仿宋_GB2312" w:hAnsi="仿宋_GB2312" w:cs="仿宋_GB2312" w:eastAsia="仿宋_GB2312"/>
              </w:rPr>
              <w:t>一、评审内容：针对本项目提供资料收集及批复方案，方案包含：①土地报批全过程资料收集方案；②取得相关部门正式批复文件的方法及措施。 二、评审标准：1、完整性：方案全面，梳理出项目关键点，对评审内容中的各项要求有详细描述及说明；2、可实施性：切合本项目实际情况，实施步骤清晰、合理；3、针对性：方案能够紧扣项目实际情况，内容科学合理。 三赋分标准： ①土地报批全过程资料收集方案（0-3分，按完整性、可实施性、针对性3项标准评分）；②取得相关部门正式批复文件的方法及措施（0-3分，按完整性、可实施性、针对性3项标准评分）；计分规则（通用，适用于以上2项评审内容）1、完整性、可实施性、针对性3项标准均完全满足得2-3分；2、2项完全满足+1项基本满足得1-2分；3、1项完全满足+2项基本满足/3项均基本满足得0.5-1分；4、3项标准均不满足（无有效响应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一、评审内容：投标供应商针对本项目提供人员保障方案。方案包含：①管理机构及岗位职责制度；②专业技术人员投入。 二、评审标准：1、完整性：方案全面，对评审内容中的各项要求有详细描述及说明；2、可实施性：切合本项目实际情况，实施步骤清晰、合理；3、针对性：方案能够紧扣项目实际情况，内容科学合理。 三、赋分依据： ①管理机构及岗位职责制度（0-3分，按完整性、可实施性、针对性3项标准评分）； ②专业技术人员投入（0-3分，按完整性、可实施性、针对性3项标准评分）；计分规则（通用，适用于以上2项评审内容）1、完整性、可实施性、针对性3项标准均完全满足得2-3分；2、2项完全满足+1项基本满足得1-2分；3、1项完全满足+2项基本满足/3项均基本满足得0.5-1分；4、3项标准均不满足（无有效响应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1、承诺：接受采购人对服务的考核、监督及管理，并对服务质量加以改进，确保服务工作的优质高效得1.5-2分，承诺一般，有缺陷得1.5-1分。其他或无承诺不得分。 2、承诺：若人员因事、病不能及时上岗时，请调其他服务人员补充，确保各项服务工作正常进行得1.5-2分，承诺一般，有缺陷得1.5-1分。其他或无承诺不得分。 3、承诺：供应商应当对涉及采购人的信息严格保密，未经采购人许可，不得将信息泄露给第三方。否则，采购人保留追究法律责任的权利得1.5-2分，承诺一般，有缺陷得1.5-1分。其他或无承诺不得分。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详见附件：资质证明.docx</w:t>
      </w:r>
    </w:p>
    <w:p>
      <w:pPr>
        <w:pStyle w:val="null3"/>
        <w:ind w:firstLine="960"/>
      </w:pPr>
      <w:r>
        <w:rPr>
          <w:rFonts w:ascii="仿宋_GB2312" w:hAnsi="仿宋_GB2312" w:cs="仿宋_GB2312" w:eastAsia="仿宋_GB2312"/>
        </w:rPr>
        <w:t>详见附件：供应商业绩证明材料.docx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