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D14BA">
      <w:pPr>
        <w:spacing w:line="360" w:lineRule="auto"/>
        <w:jc w:val="center"/>
        <w:rPr>
          <w:rFonts w:ascii="宋体"/>
          <w:sz w:val="24"/>
        </w:rPr>
      </w:pPr>
    </w:p>
    <w:p w14:paraId="3600F565">
      <w:pPr>
        <w:spacing w:line="360" w:lineRule="auto"/>
        <w:jc w:val="center"/>
        <w:rPr>
          <w:rFonts w:ascii="宋体" w:hAnsi="宋体"/>
          <w:b/>
          <w:bCs/>
          <w:sz w:val="36"/>
          <w:szCs w:val="36"/>
        </w:rPr>
      </w:pPr>
    </w:p>
    <w:p w14:paraId="52148A76">
      <w:pPr>
        <w:spacing w:line="360" w:lineRule="auto"/>
        <w:jc w:val="center"/>
        <w:rPr>
          <w:rFonts w:hint="eastAsia" w:ascii="宋体" w:hAnsi="宋体"/>
          <w:b/>
          <w:bCs/>
          <w:sz w:val="36"/>
          <w:szCs w:val="36"/>
        </w:rPr>
      </w:pPr>
      <w:r>
        <w:rPr>
          <w:rFonts w:hint="eastAsia" w:ascii="宋体" w:hAnsi="宋体"/>
          <w:b/>
          <w:bCs/>
          <w:sz w:val="36"/>
          <w:szCs w:val="36"/>
        </w:rPr>
        <w:t>洋县范窑路溢水镇405段改扩建项目用地组卷报批</w:t>
      </w:r>
    </w:p>
    <w:p w14:paraId="6C13F358">
      <w:pPr>
        <w:spacing w:line="360" w:lineRule="auto"/>
        <w:jc w:val="center"/>
        <w:rPr>
          <w:rFonts w:hint="eastAsia" w:ascii="宋体" w:hAnsi="宋体" w:eastAsia="宋体"/>
          <w:b/>
          <w:bCs/>
          <w:sz w:val="36"/>
          <w:szCs w:val="36"/>
          <w:lang w:val="en-US" w:eastAsia="zh-CN"/>
        </w:rPr>
      </w:pPr>
      <w:r>
        <w:rPr>
          <w:rFonts w:hint="eastAsia" w:ascii="宋体" w:hAnsi="宋体"/>
          <w:b/>
          <w:bCs/>
          <w:sz w:val="36"/>
          <w:szCs w:val="36"/>
        </w:rPr>
        <w:t>技术</w:t>
      </w:r>
      <w:r>
        <w:rPr>
          <w:rFonts w:hint="eastAsia" w:ascii="宋体" w:hAnsi="宋体"/>
          <w:b/>
          <w:bCs/>
          <w:sz w:val="36"/>
          <w:szCs w:val="36"/>
          <w:lang w:val="en-US" w:eastAsia="zh-CN"/>
        </w:rPr>
        <w:t>服务项目</w:t>
      </w:r>
    </w:p>
    <w:p w14:paraId="65E93E41">
      <w:pPr>
        <w:spacing w:line="360" w:lineRule="auto"/>
        <w:jc w:val="center"/>
        <w:rPr>
          <w:rFonts w:hint="eastAsia" w:ascii="宋体" w:hAnsi="宋体"/>
          <w:b/>
          <w:bCs/>
          <w:sz w:val="36"/>
          <w:szCs w:val="36"/>
        </w:rPr>
      </w:pPr>
    </w:p>
    <w:p w14:paraId="4C562ABC">
      <w:pPr>
        <w:spacing w:line="360" w:lineRule="auto"/>
        <w:jc w:val="center"/>
        <w:rPr>
          <w:rFonts w:hint="eastAsia" w:ascii="宋体" w:hAnsi="宋体"/>
          <w:b/>
          <w:bCs/>
          <w:sz w:val="36"/>
          <w:szCs w:val="36"/>
        </w:rPr>
      </w:pPr>
    </w:p>
    <w:p w14:paraId="48CD5201">
      <w:pPr>
        <w:spacing w:line="360" w:lineRule="auto"/>
        <w:jc w:val="center"/>
        <w:rPr>
          <w:rFonts w:hint="eastAsia" w:ascii="宋体" w:hAnsi="宋体"/>
          <w:b/>
          <w:bCs/>
          <w:sz w:val="36"/>
          <w:szCs w:val="36"/>
        </w:rPr>
      </w:pPr>
    </w:p>
    <w:p w14:paraId="7E9AC703">
      <w:pPr>
        <w:spacing w:line="360" w:lineRule="auto"/>
        <w:jc w:val="center"/>
        <w:rPr>
          <w:rFonts w:hint="default" w:ascii="宋体" w:hAnsi="宋体" w:eastAsia="宋体"/>
          <w:b/>
          <w:bCs/>
          <w:sz w:val="36"/>
          <w:szCs w:val="36"/>
          <w:lang w:val="en-US" w:eastAsia="zh-CN"/>
        </w:rPr>
      </w:pPr>
      <w:r>
        <w:rPr>
          <w:rFonts w:hint="eastAsia" w:ascii="宋体" w:hAnsi="宋体"/>
          <w:b/>
          <w:bCs/>
          <w:sz w:val="36"/>
          <w:szCs w:val="36"/>
        </w:rPr>
        <w:t>委托</w:t>
      </w:r>
      <w:r>
        <w:rPr>
          <w:rFonts w:hint="eastAsia" w:ascii="宋体" w:hAnsi="宋体"/>
          <w:b/>
          <w:bCs/>
          <w:sz w:val="36"/>
          <w:szCs w:val="36"/>
          <w:lang w:eastAsia="zh-CN"/>
        </w:rPr>
        <w:t>合同</w:t>
      </w:r>
      <w:r>
        <w:rPr>
          <w:rFonts w:hint="eastAsia" w:ascii="宋体" w:hAnsi="宋体"/>
          <w:b/>
          <w:bCs/>
          <w:sz w:val="36"/>
          <w:szCs w:val="36"/>
          <w:lang w:eastAsia="zh-CN"/>
        </w:rPr>
        <w:br w:type="textWrapping"/>
      </w:r>
      <w:r>
        <w:rPr>
          <w:rFonts w:hint="eastAsia" w:ascii="宋体" w:hAnsi="宋体"/>
          <w:b/>
          <w:bCs/>
          <w:sz w:val="22"/>
          <w:szCs w:val="22"/>
          <w:lang w:val="en-US" w:eastAsia="zh-CN"/>
        </w:rPr>
        <w:t>(本合同为参考文件，最终以甲乙双方正式签订的合同为准)</w:t>
      </w:r>
    </w:p>
    <w:p w14:paraId="12D1B0F5">
      <w:pPr>
        <w:spacing w:line="360" w:lineRule="auto"/>
        <w:jc w:val="center"/>
        <w:rPr>
          <w:rFonts w:ascii="宋体"/>
          <w:b/>
          <w:bCs/>
          <w:sz w:val="24"/>
        </w:rPr>
      </w:pPr>
    </w:p>
    <w:p w14:paraId="117E6C04">
      <w:pPr>
        <w:spacing w:line="360" w:lineRule="auto"/>
        <w:rPr>
          <w:rFonts w:ascii="宋体"/>
          <w:sz w:val="24"/>
        </w:rPr>
      </w:pPr>
    </w:p>
    <w:p w14:paraId="3A029418">
      <w:pPr>
        <w:spacing w:line="360" w:lineRule="auto"/>
        <w:rPr>
          <w:rFonts w:ascii="宋体"/>
          <w:sz w:val="24"/>
        </w:rPr>
      </w:pPr>
    </w:p>
    <w:p w14:paraId="0FF830DE">
      <w:pPr>
        <w:spacing w:line="360" w:lineRule="auto"/>
        <w:rPr>
          <w:rFonts w:ascii="宋体"/>
          <w:sz w:val="24"/>
        </w:rPr>
      </w:pPr>
    </w:p>
    <w:p w14:paraId="3F776773">
      <w:pPr>
        <w:spacing w:line="360" w:lineRule="auto"/>
        <w:rPr>
          <w:rFonts w:ascii="宋体"/>
          <w:sz w:val="24"/>
        </w:rPr>
      </w:pPr>
    </w:p>
    <w:p w14:paraId="29868079">
      <w:pPr>
        <w:spacing w:line="360" w:lineRule="auto"/>
        <w:rPr>
          <w:rFonts w:ascii="宋体"/>
          <w:sz w:val="24"/>
        </w:rPr>
      </w:pPr>
    </w:p>
    <w:p w14:paraId="27FB71FB">
      <w:pPr>
        <w:spacing w:line="360" w:lineRule="auto"/>
        <w:rPr>
          <w:rFonts w:ascii="宋体"/>
          <w:sz w:val="24"/>
        </w:rPr>
      </w:pPr>
    </w:p>
    <w:p w14:paraId="745083B8">
      <w:pPr>
        <w:spacing w:line="360" w:lineRule="auto"/>
        <w:rPr>
          <w:rFonts w:ascii="宋体"/>
          <w:sz w:val="24"/>
        </w:rPr>
      </w:pPr>
    </w:p>
    <w:p w14:paraId="4FDA2C5E">
      <w:pPr>
        <w:spacing w:line="360" w:lineRule="auto"/>
        <w:ind w:firstLine="585"/>
        <w:rPr>
          <w:rFonts w:ascii="宋体" w:hAnsi="宋体"/>
          <w:sz w:val="28"/>
          <w:szCs w:val="28"/>
        </w:rPr>
      </w:pPr>
    </w:p>
    <w:p w14:paraId="0EAAFEA7">
      <w:pPr>
        <w:spacing w:line="360" w:lineRule="auto"/>
        <w:ind w:firstLine="585"/>
        <w:rPr>
          <w:rFonts w:ascii="宋体" w:hAnsi="宋体"/>
          <w:sz w:val="28"/>
          <w:szCs w:val="28"/>
        </w:rPr>
      </w:pPr>
    </w:p>
    <w:p w14:paraId="50F7F80D">
      <w:pPr>
        <w:spacing w:line="360" w:lineRule="auto"/>
        <w:ind w:firstLine="585"/>
        <w:rPr>
          <w:rFonts w:ascii="宋体" w:hAnsi="宋体"/>
          <w:sz w:val="28"/>
          <w:szCs w:val="28"/>
        </w:rPr>
      </w:pPr>
    </w:p>
    <w:p w14:paraId="53F3EB14">
      <w:pPr>
        <w:spacing w:line="360" w:lineRule="auto"/>
        <w:ind w:firstLine="585"/>
        <w:rPr>
          <w:rFonts w:ascii="宋体" w:hAnsi="宋体"/>
          <w:sz w:val="28"/>
          <w:szCs w:val="28"/>
        </w:rPr>
      </w:pPr>
    </w:p>
    <w:p w14:paraId="4F8E4EBB">
      <w:pPr>
        <w:spacing w:line="480" w:lineRule="auto"/>
        <w:rPr>
          <w:rFonts w:ascii="宋体"/>
          <w:sz w:val="24"/>
          <w:szCs w:val="24"/>
        </w:rPr>
      </w:pPr>
      <w:r>
        <w:rPr>
          <w:rFonts w:hint="eastAsia" w:ascii="宋体" w:hAnsi="宋体"/>
          <w:sz w:val="24"/>
          <w:szCs w:val="24"/>
        </w:rPr>
        <w:t>项目名称：</w:t>
      </w:r>
      <w:r>
        <w:rPr>
          <w:rFonts w:hint="eastAsia" w:ascii="宋体" w:hAnsi="宋体"/>
          <w:sz w:val="24"/>
          <w:szCs w:val="24"/>
          <w:u w:val="single"/>
          <w:lang w:val="en-US" w:eastAsia="zh-CN"/>
        </w:rPr>
        <w:t xml:space="preserve">  洋县范窑路溢水镇405段改扩建项目用地组卷报批技术服务项目  </w:t>
      </w:r>
      <w:r>
        <w:rPr>
          <w:rFonts w:hint="eastAsia" w:ascii="宋体" w:hAnsi="宋体"/>
          <w:sz w:val="24"/>
          <w:szCs w:val="24"/>
        </w:rPr>
        <w:t xml:space="preserve"> </w:t>
      </w:r>
    </w:p>
    <w:p w14:paraId="216F4E6D">
      <w:pPr>
        <w:spacing w:line="480" w:lineRule="auto"/>
        <w:rPr>
          <w:rFonts w:ascii="宋体"/>
          <w:sz w:val="24"/>
          <w:szCs w:val="24"/>
        </w:rPr>
      </w:pPr>
      <w:r>
        <w:rPr>
          <w:rFonts w:hint="eastAsia" w:ascii="宋体" w:hAnsi="宋体"/>
          <w:sz w:val="24"/>
          <w:szCs w:val="24"/>
        </w:rPr>
        <w:t>委托单位：</w:t>
      </w:r>
      <w:r>
        <w:rPr>
          <w:rFonts w:hint="eastAsia" w:ascii="宋体" w:hAnsi="宋体"/>
          <w:sz w:val="24"/>
          <w:szCs w:val="24"/>
          <w:u w:val="single"/>
          <w:lang w:val="en-US" w:eastAsia="zh-CN"/>
        </w:rPr>
        <w:t xml:space="preserve">  洋县经济贸易局     </w:t>
      </w:r>
    </w:p>
    <w:p w14:paraId="4620740E">
      <w:pPr>
        <w:tabs>
          <w:tab w:val="left" w:pos="5040"/>
        </w:tabs>
        <w:spacing w:line="480" w:lineRule="auto"/>
        <w:rPr>
          <w:rFonts w:ascii="宋体" w:hAnsi="宋体"/>
          <w:sz w:val="24"/>
          <w:szCs w:val="24"/>
        </w:rPr>
      </w:pPr>
      <w:r>
        <w:rPr>
          <w:rFonts w:hint="eastAsia" w:ascii="宋体" w:hAnsi="宋体"/>
          <w:sz w:val="24"/>
          <w:szCs w:val="24"/>
        </w:rPr>
        <w:t>受托单位：</w:t>
      </w:r>
      <w:r>
        <w:rPr>
          <w:rFonts w:hint="eastAsia" w:ascii="宋体" w:hAnsi="宋体"/>
          <w:sz w:val="24"/>
          <w:szCs w:val="24"/>
          <w:u w:val="single"/>
          <w:lang w:val="en-US" w:eastAsia="zh-CN"/>
        </w:rPr>
        <w:t xml:space="preserve">                             </w:t>
      </w:r>
      <w:r>
        <w:rPr>
          <w:rFonts w:hint="eastAsia" w:ascii="宋体" w:hAnsi="宋体"/>
          <w:sz w:val="24"/>
          <w:szCs w:val="24"/>
        </w:rPr>
        <w:t xml:space="preserve"> </w:t>
      </w:r>
    </w:p>
    <w:p w14:paraId="06E3FADC">
      <w:pPr>
        <w:tabs>
          <w:tab w:val="left" w:pos="5040"/>
        </w:tabs>
        <w:spacing w:line="480" w:lineRule="auto"/>
        <w:rPr>
          <w:rFonts w:ascii="宋体" w:hAnsi="宋体"/>
          <w:sz w:val="24"/>
        </w:rPr>
        <w:sectPr>
          <w:footerReference r:id="rId6" w:type="first"/>
          <w:footerReference r:id="rId4" w:type="default"/>
          <w:headerReference r:id="rId3" w:type="even"/>
          <w:footerReference r:id="rId5" w:type="even"/>
          <w:pgSz w:w="11906" w:h="16838"/>
          <w:pgMar w:top="1418" w:right="1418" w:bottom="1418" w:left="1701" w:header="851" w:footer="992" w:gutter="0"/>
          <w:pgNumType w:fmt="decimal"/>
          <w:cols w:space="720" w:num="1"/>
          <w:titlePg/>
          <w:docGrid w:type="linesAndChars" w:linePitch="312" w:charSpace="0"/>
        </w:sectPr>
      </w:pPr>
      <w:r>
        <w:rPr>
          <w:rFonts w:hint="eastAsia" w:ascii="宋体" w:hAnsi="宋体" w:eastAsia="宋体" w:cs="Times New Roman"/>
          <w:sz w:val="24"/>
          <w:szCs w:val="24"/>
          <w:lang w:eastAsia="zh-CN"/>
        </w:rPr>
        <w:t>合同签订地点：</w:t>
      </w:r>
      <w:r>
        <w:rPr>
          <w:rFonts w:hint="eastAsia" w:ascii="宋体" w:hAnsi="宋体" w:eastAsia="宋体" w:cs="Times New Roman"/>
          <w:sz w:val="24"/>
          <w:szCs w:val="24"/>
          <w:u w:val="single"/>
          <w:lang w:val="en-US" w:eastAsia="zh-CN"/>
        </w:rPr>
        <w:t xml:space="preserve">      </w:t>
      </w:r>
      <w:r>
        <w:rPr>
          <w:rFonts w:hint="eastAsia" w:ascii="宋体" w:hAnsi="宋体" w:cs="Times New Roman"/>
          <w:sz w:val="24"/>
          <w:szCs w:val="24"/>
          <w:u w:val="single"/>
          <w:lang w:val="en-US" w:eastAsia="zh-CN"/>
        </w:rPr>
        <w:t>汉中市洋县</w:t>
      </w:r>
      <w:r>
        <w:rPr>
          <w:rFonts w:hint="eastAsia" w:ascii="宋体" w:hAnsi="宋体" w:eastAsia="宋体" w:cs="Times New Roman"/>
          <w:sz w:val="24"/>
          <w:szCs w:val="24"/>
          <w:u w:val="single"/>
          <w:lang w:val="en-US" w:eastAsia="zh-CN"/>
        </w:rPr>
        <w:t xml:space="preserve">     </w:t>
      </w:r>
      <w:r>
        <w:rPr>
          <w:rFonts w:ascii="宋体" w:hAnsi="宋体"/>
          <w:sz w:val="28"/>
          <w:szCs w:val="28"/>
        </w:rPr>
        <w:t xml:space="preserve">  </w:t>
      </w:r>
      <w:r>
        <w:rPr>
          <w:rFonts w:ascii="宋体" w:hAnsi="宋体"/>
          <w:sz w:val="24"/>
        </w:rPr>
        <w:t xml:space="preserve"> </w:t>
      </w:r>
    </w:p>
    <w:p w14:paraId="7BFA6960">
      <w:pPr>
        <w:spacing w:line="360" w:lineRule="auto"/>
        <w:ind w:firstLine="482" w:firstLineChars="200"/>
        <w:jc w:val="left"/>
        <w:rPr>
          <w:rFonts w:hint="eastAsia" w:ascii="宋体" w:hAnsi="宋体" w:eastAsia="宋体" w:cs="宋体"/>
          <w:b/>
          <w:sz w:val="24"/>
          <w:szCs w:val="24"/>
          <w:lang w:eastAsia="zh-CN"/>
        </w:rPr>
      </w:pPr>
      <w:r>
        <w:rPr>
          <w:rFonts w:hint="eastAsia" w:ascii="宋体" w:hAnsi="宋体" w:eastAsia="宋体" w:cs="宋体"/>
          <w:b/>
          <w:sz w:val="24"/>
          <w:szCs w:val="24"/>
        </w:rPr>
        <w:t>采购人（甲方）：</w:t>
      </w:r>
      <w:r>
        <w:rPr>
          <w:rFonts w:hint="eastAsia" w:ascii="宋体" w:hAnsi="宋体" w:cs="宋体"/>
          <w:b/>
          <w:sz w:val="24"/>
          <w:szCs w:val="24"/>
          <w:lang w:eastAsia="zh-CN"/>
        </w:rPr>
        <w:t>洋县经济贸易局</w:t>
      </w:r>
    </w:p>
    <w:p w14:paraId="29669A26">
      <w:pPr>
        <w:spacing w:line="360" w:lineRule="auto"/>
        <w:ind w:firstLine="482" w:firstLineChars="200"/>
        <w:jc w:val="left"/>
        <w:rPr>
          <w:rFonts w:hint="eastAsia" w:ascii="宋体" w:hAnsi="宋体" w:eastAsia="宋体" w:cs="宋体"/>
          <w:b/>
          <w:sz w:val="24"/>
          <w:szCs w:val="24"/>
        </w:rPr>
      </w:pPr>
      <w:r>
        <w:rPr>
          <w:rFonts w:hint="eastAsia" w:ascii="宋体" w:hAnsi="宋体" w:eastAsia="宋体" w:cs="宋体"/>
          <w:b/>
          <w:sz w:val="24"/>
          <w:szCs w:val="24"/>
        </w:rPr>
        <w:t>供应商（乙方）：</w:t>
      </w:r>
    </w:p>
    <w:p w14:paraId="2D2748D7">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根据《中华人民共和国民法典》、《中华人民共和国政府采购法》与项目行业有关的法律法规，以及本项目相关采购要求的规定，合同双方就乙方向采购方提供</w:t>
      </w:r>
      <w:r>
        <w:rPr>
          <w:rFonts w:hint="eastAsia" w:ascii="宋体" w:hAnsi="宋体" w:eastAsia="宋体" w:cs="宋体"/>
          <w:sz w:val="24"/>
          <w:szCs w:val="24"/>
          <w:u w:val="single"/>
        </w:rPr>
        <w:t xml:space="preserve"> </w:t>
      </w:r>
      <w:r>
        <w:rPr>
          <w:rFonts w:hint="eastAsia" w:ascii="宋体" w:hAnsi="宋体"/>
          <w:sz w:val="24"/>
          <w:szCs w:val="24"/>
          <w:u w:val="single"/>
          <w:lang w:val="en-US" w:eastAsia="zh-CN"/>
        </w:rPr>
        <w:t>洋县范窑路溢水镇405段改扩建项目用地组卷报批技术服务项目</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服务事宜，经协商达成一致，确立本合同。</w:t>
      </w:r>
    </w:p>
    <w:p w14:paraId="1721028F">
      <w:pPr>
        <w:spacing w:line="50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第一条</w:t>
      </w:r>
      <w:r>
        <w:rPr>
          <w:rFonts w:hint="eastAsia" w:ascii="宋体" w:hAnsi="宋体" w:eastAsia="宋体" w:cs="宋体"/>
          <w:b/>
          <w:bCs/>
          <w:sz w:val="24"/>
          <w:szCs w:val="24"/>
          <w:lang w:val="en-US" w:eastAsia="zh-CN"/>
        </w:rPr>
        <w:t>、</w:t>
      </w:r>
      <w:r>
        <w:rPr>
          <w:rFonts w:hint="eastAsia" w:ascii="宋体" w:hAnsi="宋体" w:eastAsia="宋体" w:cs="宋体"/>
          <w:b/>
          <w:bCs/>
          <w:sz w:val="24"/>
          <w:szCs w:val="24"/>
          <w:lang w:eastAsia="zh-CN"/>
        </w:rPr>
        <w:t>委托事项</w:t>
      </w:r>
      <w:r>
        <w:rPr>
          <w:rFonts w:hint="eastAsia" w:ascii="宋体" w:hAnsi="宋体" w:eastAsia="宋体" w:cs="宋体"/>
          <w:b/>
          <w:bCs/>
          <w:sz w:val="24"/>
          <w:szCs w:val="24"/>
        </w:rPr>
        <w:t>及付款方式</w:t>
      </w:r>
    </w:p>
    <w:p w14:paraId="74A6D32D">
      <w:pPr>
        <w:spacing w:line="5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eastAsia="zh-CN"/>
        </w:rPr>
        <w:t>委托事项</w:t>
      </w:r>
    </w:p>
    <w:p w14:paraId="6E0788DB">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主要内容为洋县范窑路溢水镇405段改扩建项目用地组卷报批技术服务等相关工作，包含从资料收集、用地预审与选址、勘测定界、地质灾害与社会稳定风险评估，到用地组卷整理上报审批，并按陕西省自然资源厅要求修改完善材料，直至取得省、市关于建设用地批复许可文件的全流程技术服务。具体内容详见磋商文件。</w:t>
      </w:r>
    </w:p>
    <w:p w14:paraId="25556EAF">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2、费用标准</w:t>
      </w:r>
    </w:p>
    <w:p w14:paraId="286EED9D">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合同签约价款：</w:t>
      </w:r>
      <w:r>
        <w:rPr>
          <w:rFonts w:hint="eastAsia" w:ascii="宋体" w:hAnsi="宋体" w:eastAsia="宋体" w:cs="宋体"/>
          <w:sz w:val="24"/>
          <w:szCs w:val="24"/>
        </w:rPr>
        <w:t>人民币大写：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元整，（人民币小写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）。该费用为含税价，包含</w:t>
      </w:r>
      <w:r>
        <w:rPr>
          <w:rFonts w:hint="eastAsia" w:ascii="宋体" w:hAnsi="宋体" w:eastAsia="宋体" w:cs="宋体"/>
          <w:sz w:val="24"/>
          <w:szCs w:val="24"/>
          <w:lang w:val="en-US" w:eastAsia="zh-CN"/>
        </w:rPr>
        <w:t>服务</w:t>
      </w:r>
      <w:r>
        <w:rPr>
          <w:rFonts w:hint="eastAsia" w:ascii="宋体" w:hAnsi="宋体" w:eastAsia="宋体" w:cs="宋体"/>
          <w:sz w:val="24"/>
          <w:szCs w:val="24"/>
        </w:rPr>
        <w:t>费、实施费、管理费、人工费、保险费、税费等乙方完成本合同全部义务的所有费用。</w:t>
      </w:r>
    </w:p>
    <w:p w14:paraId="4711BAFC">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sz w:val="24"/>
          <w:szCs w:val="24"/>
        </w:rPr>
        <w:t>3、结</w:t>
      </w:r>
      <w:r>
        <w:rPr>
          <w:rFonts w:hint="eastAsia" w:ascii="宋体" w:hAnsi="宋体" w:eastAsia="宋体" w:cs="宋体"/>
          <w:color w:val="auto"/>
          <w:sz w:val="24"/>
          <w:szCs w:val="24"/>
        </w:rPr>
        <w:t>算方式</w:t>
      </w:r>
    </w:p>
    <w:p w14:paraId="0F7991BF">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（1）付款比例：本合同签订生效后1</w:t>
      </w: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日内，预付合同总金额的</w:t>
      </w:r>
      <w:r>
        <w:rPr>
          <w:rFonts w:hint="eastAsia" w:ascii="宋体" w:hAnsi="宋体" w:cs="宋体"/>
          <w:color w:val="auto"/>
          <w:sz w:val="24"/>
          <w:szCs w:val="24"/>
          <w:lang w:val="en-US" w:eastAsia="zh-CN"/>
        </w:rPr>
        <w:t>15</w:t>
      </w:r>
      <w:r>
        <w:rPr>
          <w:rFonts w:hint="eastAsia" w:ascii="宋体" w:hAnsi="宋体" w:eastAsia="宋体" w:cs="宋体"/>
          <w:color w:val="auto"/>
          <w:sz w:val="24"/>
          <w:szCs w:val="24"/>
        </w:rPr>
        <w:t>%。服务提供方完成建设用地组卷报批并报送至省自然资源厅，至取得关于建设用地批复许可文件后，达到付款条件起</w:t>
      </w:r>
      <w:r>
        <w:rPr>
          <w:rFonts w:hint="eastAsia" w:ascii="宋体" w:hAnsi="宋体" w:cs="宋体"/>
          <w:color w:val="auto"/>
          <w:sz w:val="24"/>
          <w:szCs w:val="24"/>
          <w:lang w:val="en-US" w:eastAsia="zh-CN"/>
        </w:rPr>
        <w:t>15</w:t>
      </w:r>
      <w:r>
        <w:rPr>
          <w:rFonts w:hint="eastAsia" w:ascii="宋体" w:hAnsi="宋体" w:eastAsia="宋体" w:cs="宋体"/>
          <w:color w:val="auto"/>
          <w:sz w:val="24"/>
          <w:szCs w:val="24"/>
        </w:rPr>
        <w:t>日内，支付剩余合同总金额的</w:t>
      </w:r>
      <w:r>
        <w:rPr>
          <w:rFonts w:hint="eastAsia" w:ascii="宋体" w:hAnsi="宋体" w:cs="宋体"/>
          <w:color w:val="auto"/>
          <w:sz w:val="24"/>
          <w:szCs w:val="24"/>
          <w:lang w:val="en-US" w:eastAsia="zh-CN"/>
        </w:rPr>
        <w:t>85</w:t>
      </w:r>
      <w:r>
        <w:rPr>
          <w:rFonts w:hint="eastAsia" w:ascii="宋体" w:hAnsi="宋体" w:eastAsia="宋体" w:cs="宋体"/>
          <w:color w:val="auto"/>
          <w:sz w:val="24"/>
          <w:szCs w:val="24"/>
        </w:rPr>
        <w:t>.00%。</w:t>
      </w:r>
      <w:r>
        <w:rPr>
          <w:rFonts w:hint="eastAsia" w:ascii="宋体" w:hAnsi="宋体" w:eastAsia="宋体" w:cs="宋体"/>
          <w:color w:val="auto"/>
          <w:sz w:val="24"/>
          <w:szCs w:val="24"/>
          <w:lang w:val="en-US" w:eastAsia="zh-CN"/>
        </w:rPr>
        <w:t>最终费用结算以采购合同为准，均采用财务规范票据进行结算</w:t>
      </w:r>
      <w:r>
        <w:rPr>
          <w:rFonts w:hint="eastAsia" w:ascii="宋体" w:hAnsi="宋体" w:eastAsia="宋体" w:cs="宋体"/>
          <w:color w:val="auto"/>
          <w:sz w:val="24"/>
          <w:szCs w:val="24"/>
        </w:rPr>
        <w:t>。</w:t>
      </w:r>
    </w:p>
    <w:p w14:paraId="10DDA2EB">
      <w:pPr>
        <w:numPr>
          <w:ilvl w:val="0"/>
          <w:numId w:val="1"/>
        </w:num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乙方收款账户信息</w:t>
      </w:r>
    </w:p>
    <w:p w14:paraId="7C722D84">
      <w:pPr>
        <w:spacing w:line="500" w:lineRule="exact"/>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户 名：</w:t>
      </w:r>
      <w:r>
        <w:rPr>
          <w:rFonts w:hint="eastAsia" w:ascii="宋体" w:hAnsi="宋体" w:eastAsia="宋体" w:cs="宋体"/>
          <w:sz w:val="24"/>
          <w:szCs w:val="24"/>
          <w:u w:val="single"/>
          <w:lang w:val="en-US" w:eastAsia="zh-CN"/>
        </w:rPr>
        <w:t xml:space="preserve">         </w:t>
      </w:r>
    </w:p>
    <w:p w14:paraId="45F267CE">
      <w:pPr>
        <w:spacing w:line="500" w:lineRule="exact"/>
        <w:ind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rPr>
        <w:t>开户行：</w:t>
      </w:r>
      <w:r>
        <w:rPr>
          <w:rFonts w:hint="eastAsia" w:ascii="宋体" w:hAnsi="宋体" w:eastAsia="宋体" w:cs="宋体"/>
          <w:sz w:val="24"/>
          <w:szCs w:val="24"/>
          <w:u w:val="single"/>
          <w:lang w:val="en-US" w:eastAsia="zh-CN"/>
        </w:rPr>
        <w:t xml:space="preserve">       </w:t>
      </w:r>
    </w:p>
    <w:p w14:paraId="13B01047">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账 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p>
    <w:p w14:paraId="69FE9B24">
      <w:pPr>
        <w:numPr>
          <w:ilvl w:val="0"/>
          <w:numId w:val="1"/>
        </w:num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甲方开票信息</w:t>
      </w:r>
    </w:p>
    <w:p w14:paraId="4FEEF37E">
      <w:pPr>
        <w:spacing w:line="5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户  名：</w:t>
      </w:r>
      <w:r>
        <w:rPr>
          <w:rFonts w:hint="eastAsia" w:ascii="宋体" w:hAnsi="宋体"/>
          <w:sz w:val="24"/>
          <w:szCs w:val="24"/>
          <w:u w:val="single"/>
          <w:lang w:val="en-US" w:eastAsia="zh-CN"/>
        </w:rPr>
        <w:t>洋县经济贸易局</w:t>
      </w:r>
    </w:p>
    <w:p w14:paraId="3EE5268B">
      <w:pPr>
        <w:spacing w:line="500" w:lineRule="exact"/>
        <w:ind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rPr>
        <w:t>税  号：</w:t>
      </w:r>
      <w:r>
        <w:rPr>
          <w:rFonts w:hint="eastAsia" w:ascii="宋体" w:hAnsi="宋体" w:eastAsia="宋体" w:cs="宋体"/>
          <w:sz w:val="24"/>
          <w:szCs w:val="24"/>
          <w:u w:val="single"/>
          <w:lang w:val="en-US" w:eastAsia="zh-CN"/>
        </w:rPr>
        <w:t xml:space="preserve">                  </w:t>
      </w:r>
    </w:p>
    <w:p w14:paraId="4796881B">
      <w:pPr>
        <w:spacing w:line="500" w:lineRule="exact"/>
        <w:ind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rPr>
        <w:t>开户行：</w:t>
      </w:r>
      <w:r>
        <w:rPr>
          <w:rFonts w:hint="eastAsia" w:ascii="宋体" w:hAnsi="宋体" w:eastAsia="宋体" w:cs="宋体"/>
          <w:sz w:val="24"/>
          <w:szCs w:val="24"/>
          <w:u w:val="single"/>
          <w:lang w:val="en-US" w:eastAsia="zh-CN"/>
        </w:rPr>
        <w:t xml:space="preserve">                  </w:t>
      </w:r>
    </w:p>
    <w:p w14:paraId="200A94CB">
      <w:pPr>
        <w:spacing w:line="500" w:lineRule="exact"/>
        <w:ind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rPr>
        <w:t>账  号：</w:t>
      </w:r>
      <w:r>
        <w:rPr>
          <w:rFonts w:hint="eastAsia" w:ascii="宋体" w:hAnsi="宋体" w:eastAsia="宋体" w:cs="宋体"/>
          <w:sz w:val="24"/>
          <w:szCs w:val="24"/>
          <w:u w:val="single"/>
          <w:lang w:val="en-US" w:eastAsia="zh-CN"/>
        </w:rPr>
        <w:t xml:space="preserve">                  </w:t>
      </w:r>
    </w:p>
    <w:p w14:paraId="5A3065B0">
      <w:pPr>
        <w:spacing w:line="500" w:lineRule="exact"/>
        <w:ind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rPr>
        <w:t>地  址：</w:t>
      </w:r>
      <w:r>
        <w:rPr>
          <w:rFonts w:hint="eastAsia" w:ascii="宋体" w:hAnsi="宋体" w:eastAsia="宋体" w:cs="宋体"/>
          <w:sz w:val="24"/>
          <w:szCs w:val="24"/>
          <w:u w:val="single"/>
          <w:lang w:val="en-US" w:eastAsia="zh-CN"/>
        </w:rPr>
        <w:t xml:space="preserve">                   </w:t>
      </w:r>
    </w:p>
    <w:p w14:paraId="05EFD930">
      <w:pPr>
        <w:spacing w:line="500" w:lineRule="exact"/>
        <w:ind w:firstLine="482" w:firstLineChars="200"/>
        <w:rPr>
          <w:rFonts w:hint="eastAsia" w:ascii="宋体" w:hAnsi="宋体" w:eastAsia="宋体" w:cs="宋体"/>
          <w:sz w:val="24"/>
          <w:szCs w:val="24"/>
          <w:lang w:eastAsia="zh-CN"/>
        </w:rPr>
      </w:pPr>
      <w:r>
        <w:rPr>
          <w:rFonts w:hint="eastAsia" w:ascii="宋体" w:hAnsi="宋体" w:eastAsia="宋体" w:cs="宋体"/>
          <w:b/>
          <w:bCs/>
          <w:sz w:val="24"/>
          <w:szCs w:val="24"/>
        </w:rPr>
        <w:t>第二条</w:t>
      </w:r>
      <w:r>
        <w:rPr>
          <w:rFonts w:hint="eastAsia" w:ascii="宋体" w:hAnsi="宋体" w:eastAsia="宋体" w:cs="宋体"/>
          <w:b/>
          <w:bCs/>
          <w:sz w:val="24"/>
          <w:szCs w:val="24"/>
          <w:lang w:eastAsia="zh-CN"/>
        </w:rPr>
        <w:t>、</w:t>
      </w:r>
      <w:r>
        <w:rPr>
          <w:rFonts w:hint="eastAsia" w:ascii="宋体" w:hAnsi="宋体" w:eastAsia="宋体" w:cs="宋体"/>
          <w:b/>
          <w:bCs/>
          <w:sz w:val="24"/>
          <w:szCs w:val="24"/>
        </w:rPr>
        <w:t>服务期限：</w:t>
      </w:r>
      <w:r>
        <w:rPr>
          <w:rFonts w:hint="eastAsia" w:ascii="宋体" w:hAnsi="宋体" w:eastAsia="宋体" w:cs="宋体"/>
          <w:b w:val="0"/>
          <w:bCs w:val="0"/>
          <w:sz w:val="24"/>
          <w:szCs w:val="24"/>
          <w:lang w:val="en-US" w:eastAsia="zh-CN"/>
        </w:rPr>
        <w:t>合同签订之日起100日历天</w:t>
      </w:r>
      <w:r>
        <w:rPr>
          <w:rFonts w:hint="eastAsia" w:ascii="宋体" w:hAnsi="宋体" w:eastAsia="宋体" w:cs="宋体"/>
          <w:b w:val="0"/>
          <w:bCs w:val="0"/>
          <w:sz w:val="24"/>
          <w:szCs w:val="24"/>
          <w:lang w:eastAsia="zh-CN"/>
        </w:rPr>
        <w:t>。</w:t>
      </w:r>
    </w:p>
    <w:p w14:paraId="1004EBAC">
      <w:pPr>
        <w:spacing w:line="50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第三条</w:t>
      </w:r>
      <w:r>
        <w:rPr>
          <w:rFonts w:hint="eastAsia" w:ascii="宋体" w:hAnsi="宋体" w:eastAsia="宋体" w:cs="宋体"/>
          <w:b/>
          <w:bCs/>
          <w:sz w:val="24"/>
          <w:szCs w:val="24"/>
          <w:lang w:eastAsia="zh-CN"/>
        </w:rPr>
        <w:t>、</w:t>
      </w:r>
      <w:r>
        <w:rPr>
          <w:rFonts w:hint="eastAsia" w:ascii="宋体" w:hAnsi="宋体" w:eastAsia="宋体" w:cs="宋体"/>
          <w:b/>
          <w:bCs/>
          <w:sz w:val="24"/>
          <w:szCs w:val="24"/>
        </w:rPr>
        <w:t>服务标准</w:t>
      </w:r>
    </w:p>
    <w:p w14:paraId="670028C3">
      <w:pPr>
        <w:spacing w:line="50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质量要求：全流程服务符合国家、省、市现行建设用地组卷报批相关技术规范及规程，最终取得省、市关于建设用地的正式批复文件。</w:t>
      </w:r>
    </w:p>
    <w:p w14:paraId="4320A316">
      <w:pPr>
        <w:spacing w:line="50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责任要求：对项目资料和数据严格保密，全程对服务成果质量负责，配合核查、验收。 </w:t>
      </w:r>
    </w:p>
    <w:p w14:paraId="2FEC87EF">
      <w:pPr>
        <w:spacing w:line="50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协作要求：建立高效沟通机制，每周向采购方书面汇报进展；3个工作日内答复采购方疑问；未经采购方允许不得擅自更换项目负责人。</w:t>
      </w:r>
    </w:p>
    <w:p w14:paraId="2128B2DA">
      <w:pPr>
        <w:spacing w:line="50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第四条</w:t>
      </w:r>
      <w:r>
        <w:rPr>
          <w:rFonts w:hint="eastAsia" w:ascii="宋体" w:hAnsi="宋体" w:eastAsia="宋体" w:cs="宋体"/>
          <w:b/>
          <w:bCs/>
          <w:sz w:val="24"/>
          <w:szCs w:val="24"/>
          <w:lang w:eastAsia="zh-CN"/>
        </w:rPr>
        <w:t>、</w:t>
      </w:r>
      <w:r>
        <w:rPr>
          <w:rFonts w:hint="eastAsia" w:ascii="宋体" w:hAnsi="宋体" w:eastAsia="宋体" w:cs="宋体"/>
          <w:b/>
          <w:bCs/>
          <w:sz w:val="24"/>
          <w:szCs w:val="24"/>
        </w:rPr>
        <w:t>双方权利及义务</w:t>
      </w:r>
    </w:p>
    <w:p w14:paraId="343FBA27">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273CFE06">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2、甲方有权根据本合同所约定的内容及标准，对乙方提供的服务进度和服务质量进行检查，如乙方提供的服务质量不符合本合同的约定，甲方有权要求乙方在指定时间内作出补充或修正。</w:t>
      </w:r>
    </w:p>
    <w:p w14:paraId="468FBD64">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、甲方有权对乙方的服务成果、服务实施等提出要求或修改建议，乙方应按甲方要求或修改建议进行完善或修改。</w:t>
      </w:r>
    </w:p>
    <w:p w14:paraId="5B88C64D">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甲方应在合同生效后提供本次报地所需要的前置资料，并协助乙方收集其他有关资料；协助乙方做好报地工作所涉及的外部关系的协调以及与其他组织相联系的渠道，为乙方完成报地工作提供良好的外部条件，以便乙方收集必要的信息。</w:t>
      </w:r>
    </w:p>
    <w:p w14:paraId="2C55345A">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、乙方确保本项目涉及统计内容等均不侵犯任何第三方权利，否则应当承担侵权责任，如因此对甲方造成损失的，还应赔偿甲方损失。</w:t>
      </w:r>
    </w:p>
    <w:p w14:paraId="3912A769">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、本项目的相关资料（包括履约过程中获取的相关资料）在未经甲方书面同意的情况下不得用作其他地方。</w:t>
      </w:r>
    </w:p>
    <w:p w14:paraId="34F6ABE0">
      <w:pPr>
        <w:spacing w:line="50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条</w:t>
      </w:r>
      <w:r>
        <w:rPr>
          <w:rFonts w:hint="eastAsia" w:ascii="宋体" w:hAnsi="宋体" w:eastAsia="宋体" w:cs="宋体"/>
          <w:b/>
          <w:bCs/>
          <w:sz w:val="24"/>
          <w:szCs w:val="24"/>
          <w:lang w:eastAsia="zh-CN"/>
        </w:rPr>
        <w:t>、</w:t>
      </w:r>
      <w:r>
        <w:rPr>
          <w:rFonts w:hint="eastAsia" w:ascii="宋体" w:hAnsi="宋体" w:eastAsia="宋体" w:cs="宋体"/>
          <w:b/>
          <w:bCs/>
          <w:sz w:val="24"/>
          <w:szCs w:val="24"/>
        </w:rPr>
        <w:t>验收交付标准和方法</w:t>
      </w:r>
    </w:p>
    <w:p w14:paraId="50F38533">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服务内容完成后先由乙方进行自检，自检合格后邀请甲方进行验收。甲方确认乙方的自检内容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验收合格后，填写履约验收单作为对服务的最终认可。</w:t>
      </w:r>
    </w:p>
    <w:p w14:paraId="37F64493">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乙方向甲方提交服务实施过程中的所有资料</w:t>
      </w:r>
      <w:r>
        <w:rPr>
          <w:rFonts w:hint="eastAsia" w:ascii="宋体" w:hAnsi="宋体" w:eastAsia="宋体" w:cs="宋体"/>
          <w:sz w:val="24"/>
          <w:szCs w:val="24"/>
          <w:lang w:eastAsia="zh-CN"/>
        </w:rPr>
        <w:t>，</w:t>
      </w:r>
      <w:r>
        <w:rPr>
          <w:rFonts w:hint="eastAsia" w:ascii="宋体" w:hAnsi="宋体" w:eastAsia="宋体" w:cs="宋体"/>
          <w:sz w:val="24"/>
          <w:szCs w:val="24"/>
        </w:rPr>
        <w:t xml:space="preserve">以便甲方日后管理和维护。 </w:t>
      </w:r>
    </w:p>
    <w:p w14:paraId="661D0209">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验收依据：</w:t>
      </w:r>
    </w:p>
    <w:p w14:paraId="19981413">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磋商文件、响应文件、澄清表（函）；</w:t>
      </w:r>
    </w:p>
    <w:p w14:paraId="4F559729">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本合同及附件文本；</w:t>
      </w:r>
    </w:p>
    <w:p w14:paraId="7256B10A">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国家相应的标准、规范。</w:t>
      </w:r>
    </w:p>
    <w:p w14:paraId="24E2E301">
      <w:pPr>
        <w:pStyle w:val="7"/>
        <w:rPr>
          <w:rFonts w:hint="eastAsia" w:eastAsia="宋体"/>
          <w:lang w:val="en-US" w:eastAsia="zh-CN"/>
        </w:rPr>
      </w:pPr>
      <w:r>
        <w:rPr>
          <w:rFonts w:hint="eastAsia" w:ascii="宋体" w:eastAsia="宋体" w:cs="宋体"/>
          <w:sz w:val="24"/>
          <w:szCs w:val="24"/>
          <w:lang w:val="en-US" w:eastAsia="zh-CN"/>
        </w:rPr>
        <w:t>4、乙方应向甲方交付7项成果（预审选址文件、勘测定界报告、两类评估报告、组卷材料、批复文件、原始佐证资料）最终成果纸质版4套、电子版1套。</w:t>
      </w:r>
    </w:p>
    <w:p w14:paraId="0C31E83A">
      <w:pPr>
        <w:spacing w:line="500" w:lineRule="exact"/>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第六条、知识产权归属和处理方式</w:t>
      </w:r>
    </w:p>
    <w:p w14:paraId="254CAB8F">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640337C6">
      <w:pPr>
        <w:spacing w:line="500" w:lineRule="exact"/>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第七条、成本补偿和风险分担约定</w:t>
      </w:r>
    </w:p>
    <w:p w14:paraId="65B941AB">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4A994CF1">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（2）本条款为独立条款，本合同的无效、变更、解除和终止均不影响本条款的效力。</w:t>
      </w:r>
    </w:p>
    <w:p w14:paraId="1F4554FB">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（3）双方拟定的其他条款。</w:t>
      </w:r>
    </w:p>
    <w:p w14:paraId="6B1760E5">
      <w:pPr>
        <w:spacing w:line="500" w:lineRule="exact"/>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第八条、违约责任与解决争议的方法</w:t>
      </w:r>
    </w:p>
    <w:p w14:paraId="5888F961">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1、违约责任</w:t>
      </w:r>
    </w:p>
    <w:p w14:paraId="717E841A">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（1）合同中未约定的，按《民法典》中的相关条款执行。 </w:t>
      </w:r>
    </w:p>
    <w:p w14:paraId="4843B2A4">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未按合同要求提供服务或服务质量不能满足合同要求不能满足合同要求，甲方应当将乙方违约的情况以及拟采取的措施以书面形式报政府采购监管部门，根据政府采购监管部门的处理意见，甲方有权依据《民法典》有关条款及合同约定解除合同，乙方应向甲方支付合同总价款20％的违约金。同时，政府采购监管部门有权依据《政府釆购法》及相关法律法规对乙方的违法行为进行相应的处罚。</w:t>
      </w:r>
    </w:p>
    <w:p w14:paraId="21F9EDCE">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（3）在本合同履行过程中，双方因违约或造成对方经济、社会效益等损失的应当赔偿。</w:t>
      </w:r>
    </w:p>
    <w:p w14:paraId="3EC8B638">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（4）甲方无正当理由拒绝接受服务的，需向乙方偿付本合同总价款20%的违约金。甲方逾期付款的，则每日按逾期金额的1%向乙方偿付违约金，若违约金不能弥补甲方损失，乙方还应赔偿损失。</w:t>
      </w:r>
    </w:p>
    <w:p w14:paraId="74717E11">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（5）乙方提供的服务不符合本项目相关文件和本合同规定的，甲方有权拒绝，并且乙方须向甲方支付本合同总价款10%的违约金，若违约金不能弥补甲方损失，乙方还应赔偿损失。</w:t>
      </w:r>
    </w:p>
    <w:p w14:paraId="76853950">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（6）未经甲方同意，乙方不得擅自将本合同服务转包第三方承担。</w:t>
      </w:r>
    </w:p>
    <w:p w14:paraId="2ECBED57">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（7）本合同中各条款约定的违约金可自甲方未支付款项中直接扣除，违约金若不能弥补甲方损失的，乙方还应赔偿甲方损失。</w:t>
      </w:r>
    </w:p>
    <w:p w14:paraId="1E243A06">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（8）双方拟定的其他条款。</w:t>
      </w:r>
    </w:p>
    <w:p w14:paraId="436A614A">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2、解决争议</w:t>
      </w:r>
    </w:p>
    <w:p w14:paraId="63150CA0">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（1）本合同在履行过程中发生的争议，由甲、乙双方当事人协商解决，协商不成的按下列第</w:t>
      </w:r>
      <w:r>
        <w:rPr>
          <w:rFonts w:hint="eastAsia" w:ascii="宋体" w:hAnsi="宋体" w:eastAsia="宋体" w:cs="宋体"/>
          <w:sz w:val="24"/>
          <w:szCs w:val="24"/>
          <w:u w:val="single"/>
          <w:lang w:val="en-US" w:eastAsia="zh-CN"/>
        </w:rPr>
        <w:t>2</w:t>
      </w:r>
      <w:r>
        <w:rPr>
          <w:rFonts w:hint="eastAsia" w:ascii="宋体" w:hAnsi="宋体" w:eastAsia="宋体" w:cs="宋体"/>
          <w:sz w:val="24"/>
          <w:szCs w:val="24"/>
          <w:lang w:val="en-US" w:eastAsia="zh-CN"/>
        </w:rPr>
        <w:t>种方式解决：</w:t>
      </w:r>
    </w:p>
    <w:p w14:paraId="192535B8">
      <w:pPr>
        <w:spacing w:line="500" w:lineRule="exact"/>
        <w:ind w:firstLine="720" w:firstLineChars="3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1）提交</w:t>
      </w:r>
      <w:r>
        <w:rPr>
          <w:rFonts w:hint="eastAsia" w:ascii="宋体" w:hAnsi="宋体" w:cs="宋体"/>
          <w:sz w:val="24"/>
          <w:szCs w:val="24"/>
          <w:lang w:val="en-US" w:eastAsia="zh-CN"/>
        </w:rPr>
        <w:t>洋县</w:t>
      </w:r>
      <w:r>
        <w:rPr>
          <w:rFonts w:hint="eastAsia" w:ascii="宋体" w:hAnsi="宋体" w:eastAsia="宋体" w:cs="宋体"/>
          <w:sz w:val="24"/>
          <w:szCs w:val="24"/>
          <w:lang w:val="en-US" w:eastAsia="zh-CN"/>
        </w:rPr>
        <w:t>仲裁委员会仲裁；</w:t>
      </w:r>
    </w:p>
    <w:p w14:paraId="52233052">
      <w:pPr>
        <w:spacing w:line="500" w:lineRule="exact"/>
        <w:ind w:firstLine="720" w:firstLineChars="3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2）依法向甲方所在地人民法院起诉。</w:t>
      </w:r>
    </w:p>
    <w:p w14:paraId="6088D78A">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（2）本条款为独立条款，本合同的无效、变更、解除和终止均不影响本条款的效力。</w:t>
      </w:r>
    </w:p>
    <w:p w14:paraId="7FF4098D">
      <w:pPr>
        <w:spacing w:line="50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九</w:t>
      </w:r>
      <w:r>
        <w:rPr>
          <w:rFonts w:hint="eastAsia" w:ascii="宋体" w:hAnsi="宋体" w:eastAsia="宋体" w:cs="宋体"/>
          <w:b/>
          <w:bCs/>
          <w:sz w:val="24"/>
          <w:szCs w:val="24"/>
        </w:rPr>
        <w:t>条</w:t>
      </w:r>
      <w:r>
        <w:rPr>
          <w:rFonts w:hint="eastAsia" w:ascii="宋体" w:hAnsi="宋体" w:eastAsia="宋体" w:cs="宋体"/>
          <w:b/>
          <w:bCs/>
          <w:sz w:val="24"/>
          <w:szCs w:val="24"/>
          <w:lang w:eastAsia="zh-CN"/>
        </w:rPr>
        <w:t>、</w:t>
      </w:r>
      <w:r>
        <w:rPr>
          <w:rFonts w:hint="eastAsia" w:ascii="宋体" w:hAnsi="宋体" w:eastAsia="宋体" w:cs="宋体"/>
          <w:b/>
          <w:bCs/>
          <w:sz w:val="24"/>
          <w:szCs w:val="24"/>
        </w:rPr>
        <w:t>合同其他条款</w:t>
      </w:r>
    </w:p>
    <w:p w14:paraId="73F8ABAF">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监督部门在合同的履行期间以及履行期后，可以随时检查项目的执行情况，对采购标准、采购内容进行调查核实，并对发现的问题进行处理。</w:t>
      </w:r>
    </w:p>
    <w:p w14:paraId="63D32A79">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磋商文件、响应文件、澄清表（函）、成交通知书、合同附件均成为合同不可分割的部分。</w:t>
      </w:r>
    </w:p>
    <w:p w14:paraId="52F4833F">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甲乙双方因不可抗力导致本合同全部或部分不能履行时，发生不可抗力的一方应当在不可抗力发生后30天内书面通知对方，以减轻可能给对方造成的损失。因不可抗力导致本合同全部或部分不能履行时，双方各自承担其因此而造成的损失、损害。</w:t>
      </w:r>
    </w:p>
    <w:p w14:paraId="282A2851">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合同未尽事宜，由甲、乙双方协商后签订政府采购补充合同，与原合同具有同等法律效力。</w:t>
      </w:r>
    </w:p>
    <w:p w14:paraId="1FBF665A">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、本合同一式</w:t>
      </w:r>
      <w:r>
        <w:rPr>
          <w:rFonts w:hint="eastAsia" w:ascii="宋体" w:hAnsi="宋体" w:eastAsia="宋体" w:cs="宋体"/>
          <w:sz w:val="24"/>
          <w:szCs w:val="24"/>
          <w:u w:val="single"/>
        </w:rPr>
        <w:t xml:space="preserve">  </w:t>
      </w:r>
      <w:r>
        <w:rPr>
          <w:rFonts w:hint="eastAsia" w:ascii="宋体" w:hAnsi="宋体" w:eastAsia="宋体" w:cs="宋体"/>
          <w:sz w:val="24"/>
          <w:szCs w:val="24"/>
        </w:rPr>
        <w:t>份，甲乙双方各执</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r>
        <w:rPr>
          <w:rFonts w:hint="eastAsia" w:ascii="宋体" w:hAnsi="宋体" w:eastAsia="宋体" w:cs="宋体"/>
          <w:sz w:val="24"/>
          <w:szCs w:val="24"/>
          <w:lang w:eastAsia="zh-CN"/>
        </w:rPr>
        <w:t>，</w:t>
      </w:r>
      <w:r>
        <w:rPr>
          <w:rFonts w:hint="eastAsia" w:ascii="宋体" w:hAnsi="宋体" w:eastAsia="宋体" w:cs="宋体"/>
          <w:sz w:val="24"/>
          <w:szCs w:val="24"/>
        </w:rPr>
        <w:t>均具有同等效力。</w:t>
      </w:r>
    </w:p>
    <w:p w14:paraId="548A3092">
      <w:pPr>
        <w:spacing w:line="500" w:lineRule="exact"/>
        <w:ind w:firstLine="480" w:firstLineChars="200"/>
        <w:rPr>
          <w:rFonts w:hint="eastAsia" w:ascii="宋体" w:hAnsi="宋体" w:eastAsia="宋体" w:cs="宋体"/>
          <w:szCs w:val="21"/>
        </w:rPr>
      </w:pPr>
      <w:r>
        <w:rPr>
          <w:rFonts w:hint="eastAsia" w:ascii="宋体" w:hAnsi="宋体" w:eastAsia="宋体" w:cs="宋体"/>
          <w:sz w:val="24"/>
          <w:szCs w:val="24"/>
          <w:lang w:val="en-US" w:eastAsia="zh-CN"/>
        </w:rPr>
        <w:t>6</w:t>
      </w:r>
      <w:r>
        <w:rPr>
          <w:rFonts w:hint="eastAsia" w:ascii="宋体" w:hAnsi="宋体" w:eastAsia="宋体" w:cs="宋体"/>
          <w:sz w:val="24"/>
          <w:szCs w:val="24"/>
        </w:rPr>
        <w:t>、甲方的</w:t>
      </w:r>
      <w:r>
        <w:rPr>
          <w:rFonts w:hint="eastAsia" w:ascii="宋体" w:hAnsi="宋体" w:eastAsia="宋体" w:cs="宋体"/>
          <w:sz w:val="24"/>
          <w:szCs w:val="24"/>
          <w:lang w:eastAsia="zh-CN"/>
        </w:rPr>
        <w:t>磋商文件</w:t>
      </w:r>
      <w:r>
        <w:rPr>
          <w:rFonts w:hint="eastAsia" w:ascii="宋体" w:hAnsi="宋体" w:eastAsia="宋体" w:cs="宋体"/>
          <w:sz w:val="24"/>
          <w:szCs w:val="24"/>
        </w:rPr>
        <w:t>中</w:t>
      </w:r>
      <w:r>
        <w:rPr>
          <w:rFonts w:hint="eastAsia" w:ascii="宋体" w:hAnsi="宋体" w:eastAsia="宋体" w:cs="宋体"/>
          <w:sz w:val="24"/>
          <w:szCs w:val="24"/>
          <w:lang w:val="en-US" w:eastAsia="zh-CN"/>
        </w:rPr>
        <w:t>采购需求</w:t>
      </w:r>
      <w:r>
        <w:rPr>
          <w:rFonts w:hint="eastAsia" w:ascii="宋体" w:hAnsi="宋体" w:eastAsia="宋体" w:cs="宋体"/>
          <w:sz w:val="24"/>
          <w:szCs w:val="24"/>
        </w:rPr>
        <w:t>以及乙方“</w:t>
      </w:r>
      <w:r>
        <w:rPr>
          <w:rFonts w:hint="eastAsia" w:ascii="宋体" w:hAnsi="宋体" w:eastAsia="宋体" w:cs="宋体"/>
          <w:sz w:val="24"/>
          <w:szCs w:val="24"/>
          <w:lang w:eastAsia="zh-CN"/>
        </w:rPr>
        <w:t>响应文件</w:t>
      </w:r>
      <w:r>
        <w:rPr>
          <w:rFonts w:hint="eastAsia" w:ascii="宋体" w:hAnsi="宋体" w:eastAsia="宋体" w:cs="宋体"/>
          <w:sz w:val="24"/>
          <w:szCs w:val="24"/>
        </w:rPr>
        <w:t>”为本合同不可分割的一部分，与本合同具有同等效力；如有不一致之处，以本合同约定为准。</w:t>
      </w:r>
    </w:p>
    <w:tbl>
      <w:tblPr>
        <w:tblStyle w:val="11"/>
        <w:tblW w:w="9280" w:type="dxa"/>
        <w:jc w:val="center"/>
        <w:tblLayout w:type="fixed"/>
        <w:tblCellMar>
          <w:top w:w="0" w:type="dxa"/>
          <w:left w:w="108" w:type="dxa"/>
          <w:bottom w:w="0" w:type="dxa"/>
          <w:right w:w="108" w:type="dxa"/>
        </w:tblCellMar>
      </w:tblPr>
      <w:tblGrid>
        <w:gridCol w:w="4640"/>
        <w:gridCol w:w="4640"/>
      </w:tblGrid>
      <w:tr w14:paraId="79E2B6A3">
        <w:tblPrEx>
          <w:tblCellMar>
            <w:top w:w="0" w:type="dxa"/>
            <w:left w:w="108" w:type="dxa"/>
            <w:bottom w:w="0" w:type="dxa"/>
            <w:right w:w="108" w:type="dxa"/>
          </w:tblCellMar>
        </w:tblPrEx>
        <w:trPr>
          <w:trHeight w:val="5694" w:hRule="atLeast"/>
          <w:jc w:val="center"/>
        </w:trPr>
        <w:tc>
          <w:tcPr>
            <w:tcW w:w="4640" w:type="dxa"/>
            <w:noWrap w:val="0"/>
            <w:vAlign w:val="top"/>
          </w:tcPr>
          <w:p w14:paraId="1603A913">
            <w:pPr>
              <w:widowControl/>
              <w:autoSpaceDE w:val="0"/>
              <w:autoSpaceDN w:val="0"/>
              <w:snapToGrid w:val="0"/>
              <w:spacing w:line="48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甲方名称</w:t>
            </w:r>
            <w:r>
              <w:rPr>
                <w:rFonts w:hint="eastAsia" w:ascii="宋体" w:hAnsi="宋体" w:eastAsia="宋体" w:cs="宋体"/>
                <w:spacing w:val="-20"/>
                <w:kern w:val="0"/>
                <w:sz w:val="24"/>
                <w:szCs w:val="24"/>
              </w:rPr>
              <w:t>（盖章）</w:t>
            </w:r>
            <w:r>
              <w:rPr>
                <w:rFonts w:hint="eastAsia" w:ascii="宋体" w:hAnsi="宋体" w:eastAsia="宋体" w:cs="宋体"/>
                <w:kern w:val="0"/>
                <w:sz w:val="24"/>
                <w:szCs w:val="24"/>
              </w:rPr>
              <w:t>:</w:t>
            </w:r>
          </w:p>
          <w:p w14:paraId="798AA4B8">
            <w:pPr>
              <w:widowControl/>
              <w:autoSpaceDE w:val="0"/>
              <w:autoSpaceDN w:val="0"/>
              <w:snapToGrid w:val="0"/>
              <w:spacing w:line="48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地址：</w:t>
            </w:r>
          </w:p>
          <w:p w14:paraId="5052FF10">
            <w:pPr>
              <w:widowControl/>
              <w:autoSpaceDE w:val="0"/>
              <w:autoSpaceDN w:val="0"/>
              <w:snapToGrid w:val="0"/>
              <w:spacing w:line="480" w:lineRule="auto"/>
              <w:ind w:right="-154"/>
              <w:textAlignment w:val="bottom"/>
              <w:rPr>
                <w:rFonts w:hint="eastAsia" w:ascii="宋体" w:hAnsi="宋体" w:eastAsia="宋体" w:cs="宋体"/>
                <w:kern w:val="0"/>
                <w:sz w:val="24"/>
                <w:szCs w:val="24"/>
              </w:rPr>
            </w:pPr>
            <w:r>
              <w:rPr>
                <w:rFonts w:hint="eastAsia" w:ascii="宋体" w:hAnsi="宋体" w:cs="宋体"/>
                <w:kern w:val="0"/>
                <w:sz w:val="24"/>
                <w:szCs w:val="24"/>
                <w:lang w:val="en-US" w:eastAsia="zh-CN"/>
              </w:rPr>
              <w:t>法定</w:t>
            </w:r>
            <w:r>
              <w:rPr>
                <w:rFonts w:hint="eastAsia" w:ascii="宋体" w:hAnsi="宋体" w:eastAsia="宋体" w:cs="宋体"/>
                <w:kern w:val="0"/>
                <w:sz w:val="24"/>
                <w:szCs w:val="24"/>
              </w:rPr>
              <w:t>代表人（签字</w:t>
            </w:r>
            <w:r>
              <w:rPr>
                <w:rFonts w:hint="eastAsia" w:ascii="宋体" w:hAnsi="宋体" w:cs="宋体"/>
                <w:kern w:val="0"/>
                <w:sz w:val="24"/>
                <w:szCs w:val="24"/>
                <w:lang w:val="en-US" w:eastAsia="zh-CN"/>
              </w:rPr>
              <w:t>或盖章</w:t>
            </w:r>
            <w:r>
              <w:rPr>
                <w:rFonts w:hint="eastAsia" w:ascii="宋体" w:hAnsi="宋体" w:eastAsia="宋体" w:cs="宋体"/>
                <w:kern w:val="0"/>
                <w:sz w:val="24"/>
                <w:szCs w:val="24"/>
              </w:rPr>
              <w:t>）：</w:t>
            </w:r>
          </w:p>
          <w:p w14:paraId="744455C9">
            <w:pPr>
              <w:pStyle w:val="7"/>
              <w:spacing w:line="480" w:lineRule="auto"/>
              <w:ind w:left="0" w:leftChars="0" w:firstLine="0" w:firstLineChars="0"/>
              <w:rPr>
                <w:rFonts w:hint="eastAsia" w:ascii="宋体" w:hAnsi="宋体" w:eastAsia="宋体" w:cs="宋体"/>
                <w:kern w:val="0"/>
                <w:sz w:val="24"/>
                <w:szCs w:val="24"/>
              </w:rPr>
            </w:pPr>
            <w:r>
              <w:rPr>
                <w:rFonts w:hint="eastAsia" w:ascii="宋体" w:eastAsia="宋体" w:cs="宋体"/>
                <w:kern w:val="0"/>
                <w:sz w:val="24"/>
                <w:szCs w:val="24"/>
                <w:lang w:val="en-US" w:eastAsia="zh-CN"/>
              </w:rPr>
              <w:t>委托代理人</w:t>
            </w:r>
            <w:r>
              <w:rPr>
                <w:rFonts w:hint="eastAsia" w:ascii="宋体" w:hAnsi="宋体" w:eastAsia="宋体" w:cs="宋体"/>
                <w:kern w:val="0"/>
                <w:sz w:val="24"/>
                <w:szCs w:val="24"/>
              </w:rPr>
              <w:t>（签字）：</w:t>
            </w:r>
          </w:p>
          <w:p w14:paraId="630A3652">
            <w:pPr>
              <w:spacing w:line="480" w:lineRule="auto"/>
              <w:rPr>
                <w:rFonts w:hint="eastAsia" w:ascii="宋体" w:hAnsi="宋体" w:eastAsia="宋体" w:cs="宋体"/>
                <w:sz w:val="24"/>
                <w:szCs w:val="28"/>
                <w:lang w:val="en-US" w:eastAsia="zh-CN"/>
              </w:rPr>
            </w:pPr>
            <w:r>
              <w:rPr>
                <w:rFonts w:hint="eastAsia" w:ascii="宋体" w:hAnsi="宋体" w:cs="宋体"/>
                <w:sz w:val="24"/>
                <w:szCs w:val="28"/>
                <w:lang w:val="en-US" w:eastAsia="zh-CN"/>
              </w:rPr>
              <w:t>经办人</w:t>
            </w:r>
            <w:r>
              <w:rPr>
                <w:rFonts w:hint="eastAsia" w:ascii="宋体" w:hAnsi="宋体" w:cs="宋体"/>
                <w:sz w:val="24"/>
                <w:szCs w:val="28"/>
              </w:rPr>
              <w:t>（签字）</w:t>
            </w:r>
            <w:r>
              <w:rPr>
                <w:rFonts w:hint="eastAsia" w:ascii="宋体" w:hAnsi="宋体" w:cs="宋体"/>
                <w:sz w:val="24"/>
                <w:szCs w:val="28"/>
                <w:lang w:val="en-US" w:eastAsia="zh-CN"/>
              </w:rPr>
              <w:t xml:space="preserve">： </w:t>
            </w:r>
          </w:p>
          <w:p w14:paraId="749C6913">
            <w:pPr>
              <w:widowControl/>
              <w:autoSpaceDE w:val="0"/>
              <w:autoSpaceDN w:val="0"/>
              <w:snapToGrid w:val="0"/>
              <w:spacing w:line="480" w:lineRule="auto"/>
              <w:ind w:right="-154"/>
              <w:textAlignment w:val="bottom"/>
              <w:rPr>
                <w:rFonts w:hint="eastAsia" w:ascii="宋体" w:hAnsi="宋体" w:eastAsia="宋体" w:cs="宋体"/>
                <w:kern w:val="0"/>
                <w:sz w:val="24"/>
                <w:szCs w:val="24"/>
              </w:rPr>
            </w:pPr>
            <w:r>
              <w:rPr>
                <w:rFonts w:hint="eastAsia" w:ascii="宋体" w:hAnsi="宋体" w:cs="宋体"/>
                <w:kern w:val="0"/>
                <w:sz w:val="24"/>
                <w:szCs w:val="24"/>
                <w:lang w:val="en-US" w:eastAsia="zh-CN"/>
              </w:rPr>
              <w:t>联系</w:t>
            </w:r>
            <w:r>
              <w:rPr>
                <w:rFonts w:hint="eastAsia" w:ascii="宋体" w:hAnsi="宋体" w:eastAsia="宋体" w:cs="宋体"/>
                <w:kern w:val="0"/>
                <w:sz w:val="24"/>
                <w:szCs w:val="24"/>
              </w:rPr>
              <w:t>电话：</w:t>
            </w:r>
          </w:p>
          <w:p w14:paraId="7768ECBA">
            <w:pPr>
              <w:widowControl/>
              <w:autoSpaceDE w:val="0"/>
              <w:autoSpaceDN w:val="0"/>
              <w:snapToGrid w:val="0"/>
              <w:spacing w:line="48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开户银行：</w:t>
            </w:r>
          </w:p>
          <w:p w14:paraId="097F98D0">
            <w:pPr>
              <w:widowControl/>
              <w:autoSpaceDE w:val="0"/>
              <w:autoSpaceDN w:val="0"/>
              <w:snapToGrid w:val="0"/>
              <w:spacing w:line="48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帐号：</w:t>
            </w:r>
          </w:p>
          <w:p w14:paraId="08A246B9">
            <w:pPr>
              <w:pStyle w:val="16"/>
              <w:spacing w:line="480" w:lineRule="auto"/>
              <w:rPr>
                <w:rFonts w:hint="eastAsia" w:ascii="宋体" w:hAnsi="宋体" w:eastAsia="宋体" w:cs="宋体"/>
                <w:color w:val="auto"/>
              </w:rPr>
            </w:pPr>
            <w:r>
              <w:rPr>
                <w:rFonts w:hint="eastAsia" w:ascii="宋体" w:hAnsi="宋体" w:eastAsia="宋体" w:cs="宋体"/>
                <w:color w:val="auto"/>
              </w:rPr>
              <w:t>签订日期：    年   月  日</w:t>
            </w:r>
          </w:p>
        </w:tc>
        <w:tc>
          <w:tcPr>
            <w:tcW w:w="4640" w:type="dxa"/>
            <w:noWrap w:val="0"/>
            <w:vAlign w:val="top"/>
          </w:tcPr>
          <w:p w14:paraId="0A813D2D">
            <w:pPr>
              <w:widowControl/>
              <w:autoSpaceDE w:val="0"/>
              <w:autoSpaceDN w:val="0"/>
              <w:snapToGrid w:val="0"/>
              <w:spacing w:line="48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乙方名称</w:t>
            </w:r>
            <w:r>
              <w:rPr>
                <w:rFonts w:hint="eastAsia" w:ascii="宋体" w:hAnsi="宋体" w:eastAsia="宋体" w:cs="宋体"/>
                <w:spacing w:val="-20"/>
                <w:kern w:val="0"/>
                <w:sz w:val="24"/>
                <w:szCs w:val="24"/>
              </w:rPr>
              <w:t>（盖章）</w:t>
            </w:r>
            <w:r>
              <w:rPr>
                <w:rFonts w:hint="eastAsia" w:ascii="宋体" w:hAnsi="宋体" w:eastAsia="宋体" w:cs="宋体"/>
                <w:kern w:val="0"/>
                <w:sz w:val="24"/>
                <w:szCs w:val="24"/>
              </w:rPr>
              <w:t>:</w:t>
            </w:r>
          </w:p>
          <w:p w14:paraId="2676E58D">
            <w:pPr>
              <w:widowControl/>
              <w:autoSpaceDE w:val="0"/>
              <w:autoSpaceDN w:val="0"/>
              <w:snapToGrid w:val="0"/>
              <w:spacing w:line="48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地址：</w:t>
            </w:r>
          </w:p>
          <w:p w14:paraId="1FAB0DD8">
            <w:pPr>
              <w:widowControl/>
              <w:autoSpaceDE w:val="0"/>
              <w:autoSpaceDN w:val="0"/>
              <w:snapToGrid w:val="0"/>
              <w:spacing w:line="480" w:lineRule="auto"/>
              <w:ind w:right="-154"/>
              <w:textAlignment w:val="bottom"/>
              <w:rPr>
                <w:rFonts w:hint="eastAsia" w:ascii="宋体" w:hAnsi="宋体" w:eastAsia="宋体" w:cs="宋体"/>
                <w:kern w:val="0"/>
                <w:sz w:val="24"/>
                <w:szCs w:val="24"/>
              </w:rPr>
            </w:pPr>
            <w:r>
              <w:rPr>
                <w:rFonts w:hint="eastAsia" w:ascii="宋体" w:hAnsi="宋体" w:cs="宋体"/>
                <w:kern w:val="0"/>
                <w:sz w:val="24"/>
                <w:szCs w:val="24"/>
                <w:lang w:val="en-US" w:eastAsia="zh-CN"/>
              </w:rPr>
              <w:t>法定</w:t>
            </w:r>
            <w:r>
              <w:rPr>
                <w:rFonts w:hint="eastAsia" w:ascii="宋体" w:hAnsi="宋体" w:eastAsia="宋体" w:cs="宋体"/>
                <w:kern w:val="0"/>
                <w:sz w:val="24"/>
                <w:szCs w:val="24"/>
              </w:rPr>
              <w:t>代表人（签字</w:t>
            </w:r>
            <w:r>
              <w:rPr>
                <w:rFonts w:hint="eastAsia" w:ascii="宋体" w:hAnsi="宋体" w:cs="宋体"/>
                <w:kern w:val="0"/>
                <w:sz w:val="24"/>
                <w:szCs w:val="24"/>
                <w:lang w:val="en-US" w:eastAsia="zh-CN"/>
              </w:rPr>
              <w:t>或盖章</w:t>
            </w:r>
            <w:r>
              <w:rPr>
                <w:rFonts w:hint="eastAsia" w:ascii="宋体" w:hAnsi="宋体" w:eastAsia="宋体" w:cs="宋体"/>
                <w:kern w:val="0"/>
                <w:sz w:val="24"/>
                <w:szCs w:val="24"/>
              </w:rPr>
              <w:t>）：</w:t>
            </w:r>
          </w:p>
          <w:p w14:paraId="2B1C611D">
            <w:pPr>
              <w:pStyle w:val="7"/>
              <w:spacing w:line="480" w:lineRule="auto"/>
              <w:ind w:left="0" w:leftChars="0" w:firstLine="0" w:firstLineChars="0"/>
              <w:rPr>
                <w:rFonts w:hint="eastAsia" w:ascii="宋体" w:hAnsi="宋体" w:eastAsia="宋体" w:cs="宋体"/>
                <w:kern w:val="0"/>
                <w:sz w:val="24"/>
                <w:szCs w:val="24"/>
              </w:rPr>
            </w:pPr>
            <w:r>
              <w:rPr>
                <w:rFonts w:hint="eastAsia" w:ascii="宋体" w:eastAsia="宋体" w:cs="宋体"/>
                <w:kern w:val="0"/>
                <w:sz w:val="24"/>
                <w:szCs w:val="24"/>
                <w:lang w:val="en-US" w:eastAsia="zh-CN"/>
              </w:rPr>
              <w:t>委托代理人</w:t>
            </w:r>
            <w:r>
              <w:rPr>
                <w:rFonts w:hint="eastAsia" w:ascii="宋体" w:hAnsi="宋体" w:eastAsia="宋体" w:cs="宋体"/>
                <w:kern w:val="0"/>
                <w:sz w:val="24"/>
                <w:szCs w:val="24"/>
              </w:rPr>
              <w:t>（签字）：</w:t>
            </w:r>
          </w:p>
          <w:p w14:paraId="17ADB30F">
            <w:pPr>
              <w:widowControl/>
              <w:autoSpaceDE w:val="0"/>
              <w:autoSpaceDN w:val="0"/>
              <w:snapToGrid w:val="0"/>
              <w:spacing w:line="480" w:lineRule="auto"/>
              <w:ind w:right="-154"/>
              <w:textAlignment w:val="bottom"/>
              <w:rPr>
                <w:rFonts w:hint="eastAsia" w:ascii="宋体" w:hAnsi="宋体" w:cs="宋体"/>
                <w:kern w:val="0"/>
                <w:sz w:val="24"/>
                <w:szCs w:val="24"/>
                <w:lang w:val="en-US" w:eastAsia="zh-CN"/>
              </w:rPr>
            </w:pPr>
          </w:p>
          <w:p w14:paraId="1C6B003F">
            <w:pPr>
              <w:widowControl/>
              <w:autoSpaceDE w:val="0"/>
              <w:autoSpaceDN w:val="0"/>
              <w:snapToGrid w:val="0"/>
              <w:spacing w:line="480" w:lineRule="auto"/>
              <w:ind w:right="-154"/>
              <w:textAlignment w:val="bottom"/>
              <w:rPr>
                <w:rFonts w:hint="eastAsia" w:ascii="宋体" w:hAnsi="宋体" w:eastAsia="宋体" w:cs="宋体"/>
                <w:kern w:val="0"/>
                <w:sz w:val="24"/>
                <w:szCs w:val="24"/>
              </w:rPr>
            </w:pPr>
            <w:r>
              <w:rPr>
                <w:rFonts w:hint="eastAsia" w:ascii="宋体" w:hAnsi="宋体" w:cs="宋体"/>
                <w:kern w:val="0"/>
                <w:sz w:val="24"/>
                <w:szCs w:val="24"/>
                <w:lang w:val="en-US" w:eastAsia="zh-CN"/>
              </w:rPr>
              <w:t>联系</w:t>
            </w:r>
            <w:r>
              <w:rPr>
                <w:rFonts w:hint="eastAsia" w:ascii="宋体" w:hAnsi="宋体" w:eastAsia="宋体" w:cs="宋体"/>
                <w:kern w:val="0"/>
                <w:sz w:val="24"/>
                <w:szCs w:val="24"/>
              </w:rPr>
              <w:t>电话：</w:t>
            </w:r>
          </w:p>
          <w:p w14:paraId="08B9D887">
            <w:pPr>
              <w:widowControl/>
              <w:autoSpaceDE w:val="0"/>
              <w:autoSpaceDN w:val="0"/>
              <w:snapToGrid w:val="0"/>
              <w:spacing w:line="48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开户银行：</w:t>
            </w:r>
          </w:p>
          <w:p w14:paraId="338B3EA7">
            <w:pPr>
              <w:widowControl/>
              <w:autoSpaceDE w:val="0"/>
              <w:autoSpaceDN w:val="0"/>
              <w:snapToGrid w:val="0"/>
              <w:spacing w:line="48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帐号：</w:t>
            </w:r>
          </w:p>
          <w:p w14:paraId="7FC62C09">
            <w:pPr>
              <w:pStyle w:val="16"/>
              <w:spacing w:line="480" w:lineRule="auto"/>
              <w:rPr>
                <w:rFonts w:hint="eastAsia" w:ascii="宋体" w:hAnsi="宋体" w:eastAsia="宋体" w:cs="宋体"/>
                <w:color w:val="auto"/>
              </w:rPr>
            </w:pPr>
            <w:r>
              <w:rPr>
                <w:rFonts w:hint="eastAsia" w:ascii="宋体" w:hAnsi="宋体" w:eastAsia="宋体" w:cs="宋体"/>
                <w:color w:val="auto"/>
              </w:rPr>
              <w:t>签订日期：    年   月  日</w:t>
            </w:r>
          </w:p>
        </w:tc>
      </w:tr>
    </w:tbl>
    <w:p w14:paraId="4D1EC488">
      <w:pPr>
        <w:rPr>
          <w:rFonts w:hint="eastAsia" w:ascii="宋体" w:hAnsi="宋体" w:eastAsia="宋体" w:cs="宋体"/>
          <w:lang w:eastAsia="zh-CN"/>
        </w:rPr>
      </w:pPr>
      <w:bookmarkStart w:id="0" w:name="_GoBack"/>
      <w:bookmarkEnd w:id="0"/>
    </w:p>
    <w:sectPr>
      <w:headerReference r:id="rId7" w:type="default"/>
      <w:footerReference r:id="rId8"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7F860">
    <w:pPr>
      <w:pStyle w:val="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8E588">
    <w:pPr>
      <w:pStyle w:val="8"/>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1</w:t>
    </w:r>
    <w:r>
      <w:rPr>
        <w:rStyle w:val="14"/>
      </w:rPr>
      <w:fldChar w:fldCharType="end"/>
    </w:r>
  </w:p>
  <w:p w14:paraId="201A8BF1">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596CE">
    <w:pPr>
      <w:pStyle w:val="8"/>
      <w:jc w:val="center"/>
    </w:pPr>
  </w:p>
  <w:p w14:paraId="04E7321C">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D4D7F">
    <w:pPr>
      <w:pStyle w:val="8"/>
      <w:tabs>
        <w:tab w:val="right" w:pos="8820"/>
        <w:tab w:val="clear" w:pos="8306"/>
      </w:tabs>
      <w:ind w:right="77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5FEF30">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45FEF30">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43B6D">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FE782">
    <w:pPr>
      <w:pStyle w:val="9"/>
      <w:pBdr>
        <w:bottom w:val="none" w:color="auto" w:sz="0" w:space="1"/>
      </w:pBdr>
      <w:tabs>
        <w:tab w:val="clear" w:pos="4153"/>
      </w:tabs>
      <w:ind w:firstLine="501" w:firstLineChars="0"/>
      <w:jc w:val="left"/>
      <w:rPr>
        <w:rFonts w:ascii="仿宋" w:hAnsi="仿宋" w:eastAsia="仿宋"/>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wZGQ5MzY1ZTcxMzdhMzY4MmE4MTViNDBkM2ZhMjgifQ=="/>
  </w:docVars>
  <w:rsids>
    <w:rsidRoot w:val="00000000"/>
    <w:rsid w:val="01AE5944"/>
    <w:rsid w:val="0AF53C51"/>
    <w:rsid w:val="0EC137E9"/>
    <w:rsid w:val="114E7A8B"/>
    <w:rsid w:val="16071951"/>
    <w:rsid w:val="1C36182B"/>
    <w:rsid w:val="20DD2887"/>
    <w:rsid w:val="32C305E3"/>
    <w:rsid w:val="35666D46"/>
    <w:rsid w:val="3FC33DAA"/>
    <w:rsid w:val="46D83DE5"/>
    <w:rsid w:val="4A593033"/>
    <w:rsid w:val="51234079"/>
    <w:rsid w:val="55B22754"/>
    <w:rsid w:val="570D6CD1"/>
    <w:rsid w:val="5C400B0E"/>
    <w:rsid w:val="5FD926C4"/>
    <w:rsid w:val="62CA4E9C"/>
    <w:rsid w:val="6A4F1A31"/>
    <w:rsid w:val="6A954C24"/>
    <w:rsid w:val="759059BD"/>
    <w:rsid w:val="787A3F8E"/>
    <w:rsid w:val="7CF16C56"/>
    <w:rsid w:val="7FCC19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2"/>
    <w:basedOn w:val="1"/>
    <w:next w:val="1"/>
    <w:autoRedefine/>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annotation text"/>
    <w:basedOn w:val="1"/>
    <w:uiPriority w:val="0"/>
    <w:pPr>
      <w:jc w:val="left"/>
    </w:pPr>
  </w:style>
  <w:style w:type="paragraph" w:styleId="5">
    <w:name w:val="Body Text"/>
    <w:basedOn w:val="1"/>
    <w:next w:val="1"/>
    <w:autoRedefine/>
    <w:qFormat/>
    <w:uiPriority w:val="0"/>
    <w:pPr>
      <w:widowControl w:val="0"/>
      <w:jc w:val="left"/>
    </w:pPr>
    <w:rPr>
      <w:rFonts w:ascii="Copperplate Gothic Bold" w:hAnsi="Copperplate Gothic Bold" w:eastAsia="宋体" w:cs="Times New Roman"/>
      <w:kern w:val="2"/>
      <w:sz w:val="28"/>
      <w:szCs w:val="24"/>
      <w:lang w:val="en-US" w:eastAsia="zh-CN" w:bidi="ar-SA"/>
    </w:rPr>
  </w:style>
  <w:style w:type="paragraph" w:styleId="6">
    <w:name w:val="Plain Text"/>
    <w:basedOn w:val="1"/>
    <w:autoRedefine/>
    <w:qFormat/>
    <w:uiPriority w:val="99"/>
    <w:pPr>
      <w:spacing w:line="324" w:lineRule="auto"/>
    </w:pPr>
    <w:rPr>
      <w:rFonts w:ascii="宋体" w:hAnsi="Courier New"/>
    </w:rPr>
  </w:style>
  <w:style w:type="paragraph" w:styleId="7">
    <w:name w:val="Body Text Indent 2"/>
    <w:basedOn w:val="1"/>
    <w:qFormat/>
    <w:uiPriority w:val="0"/>
    <w:pPr>
      <w:spacing w:line="360" w:lineRule="auto"/>
      <w:ind w:left="120" w:firstLine="420" w:firstLineChars="175"/>
    </w:pPr>
    <w:rPr>
      <w:rFonts w:ascii="仿宋_GB2312" w:hAnsi="宋体" w:eastAsia="仿宋_GB2312"/>
      <w:sz w:val="24"/>
    </w:rPr>
  </w:style>
  <w:style w:type="paragraph" w:styleId="8">
    <w:name w:val="footer"/>
    <w:basedOn w:val="1"/>
    <w:qFormat/>
    <w:uiPriority w:val="99"/>
    <w:pPr>
      <w:tabs>
        <w:tab w:val="center" w:pos="4153"/>
        <w:tab w:val="right" w:pos="8306"/>
      </w:tabs>
      <w:snapToGrid w:val="0"/>
      <w:jc w:val="left"/>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rPr>
  </w:style>
  <w:style w:type="paragraph" w:styleId="10">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styleId="13">
    <w:name w:val="Strong"/>
    <w:basedOn w:val="12"/>
    <w:autoRedefine/>
    <w:qFormat/>
    <w:uiPriority w:val="0"/>
    <w:rPr>
      <w:b/>
    </w:rPr>
  </w:style>
  <w:style w:type="character" w:styleId="14">
    <w:name w:val="page number"/>
    <w:basedOn w:val="12"/>
    <w:qFormat/>
    <w:uiPriority w:val="99"/>
    <w:rPr>
      <w:rFonts w:cs="Times New Roman"/>
    </w:rPr>
  </w:style>
  <w:style w:type="character" w:styleId="15">
    <w:name w:val="Hyperlink"/>
    <w:basedOn w:val="12"/>
    <w:autoRedefine/>
    <w:qFormat/>
    <w:uiPriority w:val="0"/>
    <w:rPr>
      <w:color w:val="0000FF"/>
      <w:u w:val="single"/>
    </w:rPr>
  </w:style>
  <w:style w:type="paragraph" w:customStyle="1" w:styleId="16">
    <w:name w:val="Default"/>
    <w:autoRedefine/>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3037</Words>
  <Characters>3063</Characters>
  <Lines>0</Lines>
  <Paragraphs>0</Paragraphs>
  <TotalTime>3</TotalTime>
  <ScaleCrop>false</ScaleCrop>
  <LinksUpToDate>false</LinksUpToDate>
  <CharactersWithSpaces>3270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2024-03-04T02:33:00Z</dcterms:created>
  <dc:creator>Administrator</dc:creator>
  <cp:lastModifiedBy>『浅笑 安然』</cp:lastModifiedBy>
  <dcterms:modified xsi:type="dcterms:W3CDTF">2026-02-25T08:39:21Z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566D5F4E939741978D36E7B42160864C_13</vt:lpwstr>
  </property>
  <property fmtid="{D5CDD505-2E9C-101B-9397-08002B2CF9AE}" pid="4" name="KSOTemplateDocerSaveRecord">
    <vt:lpwstr>eyJoZGlkIjoiZmI1MTIzM2NmMTRlYjIyMWZhNzM0YWJlYzcyNGFhYmQiLCJ1c2VySWQiOiI0Nzk1MzAzMTQifQ==</vt:lpwstr>
  </property>
</Properties>
</file>