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版本号：YD-202600920260306001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洋县华阳至沙坝公路改建工程涉及汉中湑水河省级重要湿地选址征求意见书及国家级公益林调整生态影响评价报告及使用林地可行性报告编制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YD-2026009</w:t>
      </w:r>
      <w:r>
        <w:br/>
      </w:r>
      <w:r>
        <w:br/>
      </w:r>
      <w:r>
        <w:br/>
      </w:r>
    </w:p>
    <w:p>
      <w:pPr>
        <w:pStyle w:val="null3"/>
        <w:jc w:val="center"/>
        <w:outlineLvl w:val="2"/>
      </w:pPr>
      <w:r>
        <w:rPr>
          <w:rFonts w:ascii="仿宋_GB2312" w:hAnsi="仿宋_GB2312" w:cs="仿宋_GB2312" w:eastAsia="仿宋_GB2312"/>
          <w:sz w:val="28"/>
          <w:b/>
        </w:rPr>
        <w:t>洋县交通运输局（机关）</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洋县交通运输局（机关）</w:t>
      </w:r>
      <w:r>
        <w:rPr>
          <w:rFonts w:ascii="仿宋_GB2312" w:hAnsi="仿宋_GB2312" w:cs="仿宋_GB2312" w:eastAsia="仿宋_GB2312"/>
        </w:rPr>
        <w:t>委托，拟对</w:t>
      </w:r>
      <w:r>
        <w:rPr>
          <w:rFonts w:ascii="仿宋_GB2312" w:hAnsi="仿宋_GB2312" w:cs="仿宋_GB2312" w:eastAsia="仿宋_GB2312"/>
        </w:rPr>
        <w:t>洋县华阳至沙坝公路改建工程涉及汉中湑水河省级重要湿地选址征求意见书及国家级公益林调整生态影响评价报告及使用林地可行性报告编制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洋县华阳至沙坝公路改建工程涉及汉中湑水河省级重要湿地选址征求意见书及国家级公益林调整生态影响评价报告及使用林地可行性报告编制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洋县华阳至沙坝公路改建工程涉及汉中湑水河省级重要湿地选址征求意见书编制、洋县华阳至沙坝公路改建工程国家级公益林调整生态影响评价报告编制、洋县华阳至沙坝公路改建工程使用林地可行性报告编制。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采购包1（汉中湑水河省级重要湿地选址征求意见书及国家级公益林调整生态影响评价报告及使用林地可行性报告编制）：属于专门面向中小企业采购。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 3 年内经营活动无重大违法记录 ； 投标人未被列入“信用中国”网站(https://www.creditchina.gov.cn)“失信被执行人”“重大税收违法案件当事人名单”中，也未列入“中国政府采购网”(https://www.ccgp.gov.cn)的“政府采购严重违法失信行为记录名单 ”；拟参与本项目的投标人应按照汉中市财政局《关于全面推行政府采购供应商基本资格条件承诺制的通知》 (汉财办采管(2024)20 号)文件要求，提供满足相应条件的资格承诺函；</w:t>
      </w:r>
    </w:p>
    <w:p>
      <w:pPr>
        <w:pStyle w:val="null3"/>
      </w:pPr>
      <w:r>
        <w:rPr>
          <w:rFonts w:ascii="仿宋_GB2312" w:hAnsi="仿宋_GB2312" w:cs="仿宋_GB2312" w:eastAsia="仿宋_GB2312"/>
        </w:rPr>
        <w:t>3、法定代表人身份证明或法定代表人授权委托书：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4、本采购包专门面向中小企业采购：本项目专门面向中小企业采购,供应商须提供《中小企业声明函》，供应商为监狱企业的，应提供监狱企业的证明文件；供应商为残疾人福利性单位的，应提供《残疾人福利性单位声明函》 (监狱企业或残疾人福利性单位视同小型、微型企业)；</w:t>
      </w:r>
    </w:p>
    <w:p>
      <w:pPr>
        <w:pStyle w:val="null3"/>
      </w:pPr>
      <w:r>
        <w:rPr>
          <w:rFonts w:ascii="仿宋_GB2312" w:hAnsi="仿宋_GB2312" w:cs="仿宋_GB2312" w:eastAsia="仿宋_GB2312"/>
        </w:rPr>
        <w:t>5、供应商资质：供应商应具有林业调查规划设计乙级及以上资质。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洋县交通运输局（机关）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洋县南环路74号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13572607957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银行账号：806060801421006187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洋县交通运输局（机关）</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洋县交通运输局（机关）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洋县交通运输局（机关）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洋县华阳至沙坝公路改建工程涉及汉中湑水河省级重要湿地选址征求意见书编制、洋县华阳至沙坝公路改建工程国家级公益林调整生态影响评价报告编制、洋县华阳至沙坝公路改建工程使用林地可行性报告编制。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1,020,000.00</w:t>
      </w:r>
    </w:p>
    <w:p>
      <w:pPr>
        <w:pStyle w:val="null3"/>
      </w:pPr>
      <w:r>
        <w:rPr>
          <w:rFonts w:ascii="仿宋_GB2312" w:hAnsi="仿宋_GB2312" w:cs="仿宋_GB2312" w:eastAsia="仿宋_GB2312"/>
        </w:rPr>
        <w:t>采购包最高限价（元）: 1,020,000.00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洋县华阳至沙坝公路改建工程涉及汉中湑水河省级重要湿地选址征求意见书编制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洋县华阳至沙坝公路改建工程国家级公益林调整生态影响评价报告编制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洋县华阳至沙坝公路改建工程使用林地可行性报告编制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标的名称：洋县华阳至沙坝公路改建工程涉及汉中湑水河省级重要湿地选址征求意见书编制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333333"/>
              </w:rPr>
              <w:t>路线全长42公里，采用三级公路技术标准建设，路基宽7.5米。</w:t>
            </w:r>
            <w:r>
              <w:rPr>
                <w:rFonts w:ascii="仿宋_GB2312" w:hAnsi="仿宋_GB2312" w:cs="仿宋_GB2312" w:eastAsia="仿宋_GB2312"/>
                <w:sz w:val="21"/>
                <w:color w:val="333333"/>
              </w:rPr>
              <w:t>完成洋县华阳至沙坝公</w:t>
            </w:r>
            <w:r>
              <w:rPr>
                <w:rFonts w:ascii="仿宋_GB2312" w:hAnsi="仿宋_GB2312" w:cs="仿宋_GB2312" w:eastAsia="仿宋_GB2312"/>
                <w:sz w:val="21"/>
                <w:color w:val="333333"/>
              </w:rPr>
              <w:t>路改建工程涉及汉中湑</w:t>
            </w:r>
            <w:r>
              <w:rPr>
                <w:rFonts w:ascii="仿宋_GB2312" w:hAnsi="仿宋_GB2312" w:cs="仿宋_GB2312" w:eastAsia="仿宋_GB2312"/>
                <w:sz w:val="21"/>
                <w:color w:val="333333"/>
              </w:rPr>
              <w:t>水河省级重要湿地选址</w:t>
            </w:r>
            <w:r>
              <w:rPr>
                <w:rFonts w:ascii="仿宋_GB2312" w:hAnsi="仿宋_GB2312" w:cs="仿宋_GB2312" w:eastAsia="仿宋_GB2312"/>
                <w:sz w:val="21"/>
                <w:color w:val="333333"/>
              </w:rPr>
              <w:t>征求意见书编制，并取</w:t>
            </w:r>
            <w:r>
              <w:rPr>
                <w:rFonts w:ascii="仿宋_GB2312" w:hAnsi="仿宋_GB2312" w:cs="仿宋_GB2312" w:eastAsia="仿宋_GB2312"/>
                <w:sz w:val="21"/>
                <w:color w:val="333333"/>
              </w:rPr>
              <w:t>得行业主管部门批复。</w:t>
            </w:r>
          </w:p>
        </w:tc>
      </w:tr>
    </w:tbl>
    <w:p>
      <w:pPr>
        <w:pStyle w:val="null3"/>
      </w:pPr>
      <w:r>
        <w:rPr>
          <w:rFonts w:ascii="仿宋_GB2312" w:hAnsi="仿宋_GB2312" w:cs="仿宋_GB2312" w:eastAsia="仿宋_GB2312"/>
        </w:rPr>
        <w:t>标的名称：洋县华阳至沙坝公路改建工程国家级公益林调整生态影响评价报告编制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333333"/>
              </w:rPr>
              <w:t>路线全长42公里，采用三级公路技术标准建设，路基宽7.5米。</w:t>
            </w:r>
            <w:r>
              <w:rPr>
                <w:rFonts w:ascii="仿宋_GB2312" w:hAnsi="仿宋_GB2312" w:cs="仿宋_GB2312" w:eastAsia="仿宋_GB2312"/>
                <w:sz w:val="21"/>
                <w:color w:val="333333"/>
              </w:rPr>
              <w:t>完成洋县华阳至沙坝公</w:t>
            </w:r>
            <w:r>
              <w:rPr>
                <w:rFonts w:ascii="仿宋_GB2312" w:hAnsi="仿宋_GB2312" w:cs="仿宋_GB2312" w:eastAsia="仿宋_GB2312"/>
                <w:sz w:val="21"/>
                <w:color w:val="333333"/>
              </w:rPr>
              <w:t>路改建工程国家级公益</w:t>
            </w:r>
            <w:r>
              <w:rPr>
                <w:rFonts w:ascii="仿宋_GB2312" w:hAnsi="仿宋_GB2312" w:cs="仿宋_GB2312" w:eastAsia="仿宋_GB2312"/>
                <w:sz w:val="21"/>
                <w:color w:val="333333"/>
              </w:rPr>
              <w:t>林调整生态影响评价报</w:t>
            </w:r>
            <w:r>
              <w:rPr>
                <w:rFonts w:ascii="仿宋_GB2312" w:hAnsi="仿宋_GB2312" w:cs="仿宋_GB2312" w:eastAsia="仿宋_GB2312"/>
                <w:sz w:val="21"/>
                <w:color w:val="333333"/>
              </w:rPr>
              <w:t>告编制，并取得行业主</w:t>
            </w:r>
            <w:r>
              <w:rPr>
                <w:rFonts w:ascii="仿宋_GB2312" w:hAnsi="仿宋_GB2312" w:cs="仿宋_GB2312" w:eastAsia="仿宋_GB2312"/>
                <w:sz w:val="21"/>
                <w:color w:val="333333"/>
              </w:rPr>
              <w:t>管部门批复。</w:t>
            </w:r>
          </w:p>
          <w:p>
            <w:pPr>
              <w:pStyle w:val="null3"/>
            </w:pPr>
          </w:p>
        </w:tc>
      </w:tr>
    </w:tbl>
    <w:p>
      <w:pPr>
        <w:pStyle w:val="null3"/>
      </w:pPr>
      <w:r>
        <w:rPr>
          <w:rFonts w:ascii="仿宋_GB2312" w:hAnsi="仿宋_GB2312" w:cs="仿宋_GB2312" w:eastAsia="仿宋_GB2312"/>
        </w:rPr>
        <w:t>标的名称：洋县华阳至沙坝公路改建工程使用林地可行性报告编制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333333"/>
              </w:rPr>
              <w:t>路线全长42公里，采用三级公路技术标准建设，路基宽7.5米。</w:t>
            </w:r>
            <w:r>
              <w:rPr>
                <w:rFonts w:ascii="仿宋_GB2312" w:hAnsi="仿宋_GB2312" w:cs="仿宋_GB2312" w:eastAsia="仿宋_GB2312"/>
                <w:sz w:val="21"/>
                <w:color w:val="333333"/>
              </w:rPr>
              <w:t>完成洋县华阳至沙坝公</w:t>
            </w:r>
            <w:r>
              <w:rPr>
                <w:rFonts w:ascii="仿宋_GB2312" w:hAnsi="仿宋_GB2312" w:cs="仿宋_GB2312" w:eastAsia="仿宋_GB2312"/>
                <w:sz w:val="21"/>
                <w:color w:val="333333"/>
              </w:rPr>
              <w:t>路改建工程使用林地可</w:t>
            </w:r>
            <w:r>
              <w:rPr>
                <w:rFonts w:ascii="仿宋_GB2312" w:hAnsi="仿宋_GB2312" w:cs="仿宋_GB2312" w:eastAsia="仿宋_GB2312"/>
                <w:sz w:val="21"/>
                <w:color w:val="333333"/>
              </w:rPr>
              <w:t>行性报告编制，并取得</w:t>
            </w:r>
            <w:r>
              <w:rPr>
                <w:rFonts w:ascii="仿宋_GB2312" w:hAnsi="仿宋_GB2312" w:cs="仿宋_GB2312" w:eastAsia="仿宋_GB2312"/>
                <w:sz w:val="21"/>
                <w:color w:val="333333"/>
              </w:rPr>
              <w:t>行业主管部门批复。</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甲乙双方自行约定</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合同签订后拨付总合同款的30%</w:t>
      </w:r>
      <w:r>
        <w:rPr>
          <w:rFonts w:ascii="仿宋_GB2312" w:hAnsi="仿宋_GB2312" w:cs="仿宋_GB2312" w:eastAsia="仿宋_GB2312"/>
        </w:rPr>
        <w:t xml:space="preserve"> ，达到付款条件起 </w:t>
      </w:r>
      <w:r>
        <w:rPr>
          <w:rFonts w:ascii="仿宋_GB2312" w:hAnsi="仿宋_GB2312" w:cs="仿宋_GB2312" w:eastAsia="仿宋_GB2312"/>
        </w:rPr>
        <w:t>99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初稿完成后拨付总合同款30% </w:t>
      </w:r>
      <w:r>
        <w:rPr>
          <w:rFonts w:ascii="仿宋_GB2312" w:hAnsi="仿宋_GB2312" w:cs="仿宋_GB2312" w:eastAsia="仿宋_GB2312"/>
        </w:rPr>
        <w:t xml:space="preserve"> ，达到付款条件起 </w:t>
      </w:r>
      <w:r>
        <w:rPr>
          <w:rFonts w:ascii="仿宋_GB2312" w:hAnsi="仿宋_GB2312" w:cs="仿宋_GB2312" w:eastAsia="仿宋_GB2312"/>
        </w:rPr>
        <w:t>99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项目验收合格后拨付总合同款40%</w:t>
      </w:r>
      <w:r>
        <w:rPr>
          <w:rFonts w:ascii="仿宋_GB2312" w:hAnsi="仿宋_GB2312" w:cs="仿宋_GB2312" w:eastAsia="仿宋_GB2312"/>
        </w:rPr>
        <w:t xml:space="preserve"> ，达到付款条件起 </w:t>
      </w:r>
      <w:r>
        <w:rPr>
          <w:rFonts w:ascii="仿宋_GB2312" w:hAnsi="仿宋_GB2312" w:cs="仿宋_GB2312" w:eastAsia="仿宋_GB2312"/>
        </w:rPr>
        <w:t>99</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1、在成交结果公示后，成交供应商向代理机构提交纸质投标文件叁份、分别胶装，加盖骑缝章，电子版U盘贰份，内容和通过电子化交易平台实施的政府采购项目提交的投标文件一致。 2、保证金若以金融机构、担保机构出具的保函形式则须在开标前一个工作日告知采购代理机构。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 3 年内经营活动无重大违法记录 ； 投标人未被列入“信用中国”网站(https://www.creditchina.gov.cn)“失信被执行人”“重大税收违法案件当事人名单”中，也未列入“中国政府采购网”(https://www.ccgp.gov.cn)的“政府采购严重违法失信行为记录名单 ”；拟参与本项目的投标人应按照汉中市财政局《关于全面推行政府采购供应商基本资格条件承诺制的通知》 (汉财办采管(2024)20 号)文件要求，提供满足相应条件的资格承诺函；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本项目专门面向中小企业采购,供应商须提供《中小企业声明函》，供应商为监狱企业的，应提供监狱企业的证明文件；供应商为残疾人福利性单位的，应提供《残疾人福利性单位声明函》 (监狱企业或残疾人福利性单位视同小型、微型企业)；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供应商应具有林业调查规划设计乙级及以上资质。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 显低于其他实质性响应的投标人报价，有可能 影响产品质量或者不能诚信履约的，评标委员 会应当要求其在合理的时间内提供成本构成书 面说明，并提交相关证明材料。书面说明应当 按照国家财务会计制度的规定要求，逐项就投 标人提供的货物、工程和服务的主营业务成本 （应根据投标人企业类型予以区别）、税金及 附加、销售费用、管理费用、财务费用等成本 构成事项详细陈述。 2.投标人提交的相关说明 和证明材料，应当加盖投标人（法定名称）电 子印章，在评标委员会要求的时间内通过项目 电子化交易系统进行提交，否则提交的相关证 明材料无效。投标人不能证明其投标报价合理 性的，评标委员会应当将其投标文件作为无效 处理。 3.政府采购评审中出现下列情形之一的 ，评审委员会应当启动异常低价投标（响应） 审查程序： 3.1.投标（响应）报价低于全部通 过符合性审查供应商投标（响应）报价平均值5 0%的，即投标（响应）报价&lt;全部通过符合性 审查供应商投标（响应）报价平均值×50%； 3.2.投标（响应）报价低于通过符合性审查的次 低报价供应商投标（响应）报价50%的，即投 标（响应）报价&lt;通过符合性审查的次低报价供 应商投标（响应）报价×50%； 3.3.投标（响 应）报价低于采购项目最高限价45%的，即投 标（响应）报价&lt;采购项目最高限价×45%； 3 .4.评审委员会基于专业判断，认为供应商报价 过低，有可能影响产品质量或者不能诚信履约 的其他情形。 采购人可以结合具体项目实际情 况，提高上述第3.1项至第3.3项中启动异常低 价投标（响应）审查的数值标准，但是最高不 得超过65%。 相关法律法规对供应商报价 有规定的，从其规定。</w:t>
            </w:r>
          </w:p>
        </w:tc>
        <w:tc>
          <w:tcPr>
            <w:tcW w:type="dxa" w:w="1661"/>
          </w:tcPr>
          <w:p>
            <w:pPr>
              <w:pStyle w:val="null3"/>
            </w:pPr>
            <w:r>
              <w:rPr>
                <w:rFonts w:ascii="仿宋_GB2312" w:hAnsi="仿宋_GB2312" w:cs="仿宋_GB2312" w:eastAsia="仿宋_GB2312"/>
              </w:rPr>
              <w:t>分项报价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响应文件按磋商文件要求进行电子签章</w:t>
            </w:r>
          </w:p>
        </w:tc>
        <w:tc>
          <w:tcPr>
            <w:tcW w:type="dxa" w:w="1661"/>
          </w:tcPr>
          <w:p>
            <w:pPr>
              <w:pStyle w:val="null3"/>
            </w:pPr>
            <w:r>
              <w:rPr>
                <w:rFonts w:ascii="仿宋_GB2312" w:hAnsi="仿宋_GB2312" w:cs="仿宋_GB2312" w:eastAsia="仿宋_GB2312"/>
              </w:rPr>
              <w:t>响应文件封面 服务内容及服务邀请应答表 分项报价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响应文件封面 服务内容及服务邀请应答表 分项报价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报价唯一，未超出采购预算或磋商文件规定的最高限价</w:t>
            </w:r>
          </w:p>
        </w:tc>
        <w:tc>
          <w:tcPr>
            <w:tcW w:type="dxa" w:w="1661"/>
          </w:tcPr>
          <w:p>
            <w:pPr>
              <w:pStyle w:val="null3"/>
            </w:pPr>
            <w:r>
              <w:rPr>
                <w:rFonts w:ascii="仿宋_GB2312" w:hAnsi="仿宋_GB2312" w:cs="仿宋_GB2312" w:eastAsia="仿宋_GB2312"/>
              </w:rPr>
              <w:t>分项报价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响应文件封面 服务内容及服务邀请应答表 分项报价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配置人员</w:t>
            </w:r>
          </w:p>
        </w:tc>
        <w:tc>
          <w:tcPr>
            <w:tcW w:type="dxa" w:w="2492"/>
          </w:tcPr>
          <w:p>
            <w:pPr>
              <w:pStyle w:val="null3"/>
            </w:pPr>
            <w:r>
              <w:rPr>
                <w:rFonts w:ascii="仿宋_GB2312" w:hAnsi="仿宋_GB2312" w:cs="仿宋_GB2312" w:eastAsia="仿宋_GB2312"/>
              </w:rPr>
              <w:t>供应商针对本项目提出适用于本项目的项目团队配置方案，包括但不限于①团队组织人员配置明细；②团队人员管理制度；③各专业岗位配置；④配置人员相关证书证件及工作经验；⑤提供人员到场及不更换人员承诺。 以上各项内容全面明确、阐述条理清晰得10分，每缺一项扣2分，每项中的内容存在缺陷，扣0.1-1.9分，扣完为止。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供应商针对本项目提出适用于本项目的服务承诺，包括但不限于：①服务质量承诺；②服务承诺（人员到位、后续配合服务计划等方面）。 以上各项内容全面明确、阐述条理清晰得6分，每缺一项扣3分，每项中的内容存在缺陷，扣0.1-2.9分，扣完为止。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供应商针对本项目提出适用于本项目的实施方案。包括但不限于：①服务目标、内容；②服务标准；③服务方法及策略；④工作流程；⑤配合验收方案。 以上各项内容全面明确、阐述条理清晰得20分，每缺一项扣4分，每项中的内容存在缺陷，扣0.1-3.9分，扣完为止。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供应商针对本项目报告编制进行重难点分析。包括但不限于：①重难点分析 ②对应解决方案。 以上各项内容全面明确、阐述条理清晰得6分，每缺一项扣3分，每项中的内容存在缺陷，扣0.1-2.9分，扣完为止。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供应商针对本项目提出适用于本项目的质量保证方案。包括但不限于：①质量保证体系；②质量保证的具体措施。 以上各项内容全面明确、阐述条理清晰得6分，每缺一项扣3分，每项中的内容存在缺陷，扣0.1-2.9分，扣完为止。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w:t>
            </w:r>
          </w:p>
        </w:tc>
        <w:tc>
          <w:tcPr>
            <w:tcW w:type="dxa" w:w="2492"/>
          </w:tcPr>
          <w:p>
            <w:pPr>
              <w:pStyle w:val="null3"/>
            </w:pPr>
            <w:r>
              <w:rPr>
                <w:rFonts w:ascii="仿宋_GB2312" w:hAnsi="仿宋_GB2312" w:cs="仿宋_GB2312" w:eastAsia="仿宋_GB2312"/>
              </w:rPr>
              <w:t>供应商针对本项目提出适用于本项目的项目实施进度计划，包括但不限于：①项目实施进度计划；②项目进度保障措施。 以上各项内容全面明确、阐述条理清晰得6分，每缺一项扣3分，每项中的内容存在缺陷，扣0.1-2.9分，扣完为止。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供应商针对本项目的具体情况、客户需求等因素针对性提出：①合理化建议；②解决措施。 以上各项内容全面明确、阐述条理清晰得6分，每缺一项扣3分，每项中的内容存在缺陷，扣0.1-2.9分，扣完为止。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供应商针对本项目相关信息制定完整可行的保密措施，具备完善的内部保密制度。包括但不限于:①制度建设；②保密措施。 以上各项内容全面明确、阐述条理清晰得6分，每缺一项扣3分，每项中的内容存在缺陷，扣0.1-2.9分，扣完为止。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成果文档管理的措施</w:t>
            </w:r>
          </w:p>
        </w:tc>
        <w:tc>
          <w:tcPr>
            <w:tcW w:type="dxa" w:w="2492"/>
          </w:tcPr>
          <w:p>
            <w:pPr>
              <w:pStyle w:val="null3"/>
            </w:pPr>
            <w:r>
              <w:rPr>
                <w:rFonts w:ascii="仿宋_GB2312" w:hAnsi="仿宋_GB2312" w:cs="仿宋_GB2312" w:eastAsia="仿宋_GB2312"/>
              </w:rPr>
              <w:t>供应商针对本项目提出适用于本项目的成果文档管理的措施，包括但不限于:①成果交付资料应真实、有效，符合采购人要求，提供相应承诺；②成果文档管理措施；③成果文档交付方案（包括但不限于以采购人要求提供电子版、文字版成果及修改成果文件的承诺）。 以上各项内容全面明确、阐述条理清晰得9分，每缺一项扣3分，每项中的内容存在缺陷，扣0.1-2.9分，扣完为止。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1、上限为采购最高限价，即报价大于上限价视为无效标；2、以满足本次磋商文件要求的最低报价为评审基准价，其价格为满分；3、投标供应商报价得分=（评审基准价/报价）×20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