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版本号：YD-202600320260228003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洋县托育机构建设项目（电力增变项目）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YD-2026003</w:t>
      </w:r>
      <w:r>
        <w:br/>
      </w:r>
      <w:r>
        <w:br/>
      </w:r>
      <w:r>
        <w:br/>
      </w:r>
    </w:p>
    <w:p>
      <w:pPr>
        <w:pStyle w:val="null3"/>
        <w:jc w:val="center"/>
        <w:outlineLvl w:val="2"/>
      </w:pPr>
      <w:r>
        <w:rPr>
          <w:rFonts w:ascii="仿宋_GB2312" w:hAnsi="仿宋_GB2312" w:cs="仿宋_GB2312" w:eastAsia="仿宋_GB2312"/>
          <w:sz w:val="28"/>
          <w:b/>
        </w:rPr>
        <w:t>洋县妇幼保健计划生育服务中心</w:t>
      </w:r>
    </w:p>
    <w:p>
      <w:pPr>
        <w:pStyle w:val="null3"/>
        <w:jc w:val="center"/>
        <w:outlineLvl w:val="2"/>
      </w:pPr>
      <w:r>
        <w:rPr>
          <w:rFonts w:ascii="仿宋_GB2312" w:hAnsi="仿宋_GB2312" w:cs="仿宋_GB2312" w:eastAsia="仿宋_GB2312"/>
          <w:sz w:val="28"/>
          <w:b/>
        </w:rPr>
        <w:t>一鼎项目管理有限公司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一鼎项目管理有限公司</w:t>
      </w:r>
      <w:r>
        <w:rPr>
          <w:rFonts w:ascii="仿宋_GB2312" w:hAnsi="仿宋_GB2312" w:cs="仿宋_GB2312" w:eastAsia="仿宋_GB2312"/>
        </w:rPr>
        <w:t>（以下简称“代理机构”）受</w:t>
      </w:r>
      <w:r>
        <w:rPr>
          <w:rFonts w:ascii="仿宋_GB2312" w:hAnsi="仿宋_GB2312" w:cs="仿宋_GB2312" w:eastAsia="仿宋_GB2312"/>
        </w:rPr>
        <w:t>洋县妇幼保健计划生育服务中心</w:t>
      </w:r>
      <w:r>
        <w:rPr>
          <w:rFonts w:ascii="仿宋_GB2312" w:hAnsi="仿宋_GB2312" w:cs="仿宋_GB2312" w:eastAsia="仿宋_GB2312"/>
        </w:rPr>
        <w:t>委托，拟对</w:t>
      </w:r>
      <w:r>
        <w:rPr>
          <w:rFonts w:ascii="仿宋_GB2312" w:hAnsi="仿宋_GB2312" w:cs="仿宋_GB2312" w:eastAsia="仿宋_GB2312"/>
        </w:rPr>
        <w:t>洋县托育机构建设项目（电力增变项目）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YD-2026003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洋县托育机构建设项目（电力增变项目）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该工程位于汉中市洋县，主要内容为在实验楼旁绿化带新建1000kVA箱变1台，电缆检查井2座，敷设WDZYJLV22-8.7/15kV-3x120电缆68米，原箱变接入电缆，拆除原杆架变1台，水泥杆2根，高压计量装置1套等工程。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采购包1（洋县托育机构建设项目（电力增变项目））：属于专门面向中小企业采购。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供应商资质：供应商应具备建设行政主管部门颁发合法有效的电力工程施工总承包三级及以上资质或输变电工程专业承包三级及以上资质，同时具备电力设施施工《承装（修、试）电力设施许可证》承装、承修三级及以上资质，以及合法有效的安全生产许可证，并在人员、设备、资金等方面具备相应施工能力且无不良记录；</w:t>
      </w:r>
    </w:p>
    <w:p>
      <w:pPr>
        <w:pStyle w:val="null3"/>
      </w:pPr>
      <w:r>
        <w:rPr>
          <w:rFonts w:ascii="仿宋_GB2312" w:hAnsi="仿宋_GB2312" w:cs="仿宋_GB2312" w:eastAsia="仿宋_GB2312"/>
        </w:rPr>
        <w:t>3、拟派项目负责人：拟派项目负责人证书等级：二级及以上注册建造师资格 专业：机电工程专业 补充说明：安全生产考核合格证，且无在建工程(出具无在建承诺书)。</w:t>
      </w:r>
    </w:p>
    <w:p>
      <w:pPr>
        <w:pStyle w:val="null3"/>
      </w:pPr>
      <w:r>
        <w:rPr>
          <w:rFonts w:ascii="仿宋_GB2312" w:hAnsi="仿宋_GB2312" w:cs="仿宋_GB2312" w:eastAsia="仿宋_GB2312"/>
        </w:rPr>
        <w:t>4、资格承诺：供应商应具备健全的财务会计制度、履行合同所需的设备和专业技术能力、依法缴纳税收和社会保障资金，以及参加本项目采购活动前 3 年内经营活动无重大违法记录 ； 投标人未被列入“信用中国”网站(https://www.creditchina.gov.cn)“失信被执行人”“重大税收违法案件当事人名单”中，也未列入“中国政府采购网”(https://www.ccgp.gov.cn)的“政府采购严重违法失信行为记录名单 ”；拟参与本项目的投标人应按照汉中市财政局《关于全面推行政府采购供应商基本资格条件承诺制的通知》 (汉财办采管(20 24)20 号)文件要求，提供满足相应条件的资格承诺函；</w:t>
      </w:r>
    </w:p>
    <w:p>
      <w:pPr>
        <w:pStyle w:val="null3"/>
      </w:pPr>
      <w:r>
        <w:rPr>
          <w:rFonts w:ascii="仿宋_GB2312" w:hAnsi="仿宋_GB2312" w:cs="仿宋_GB2312" w:eastAsia="仿宋_GB2312"/>
        </w:rPr>
        <w:t>5、法定代表人身份证明或法定代表人授权委托书：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6、本采购包专门面向中小企业采购：本项目专门面向中小企业采购,供应商须提供《中小企业声明函》原件，供应商为监狱企业的，应提供监狱企业的证明文件；供应商为残疾人福利性单位的，应提供《残疾人福利性单位声明函》 (监狱企业或残疾人福利性单位视同小型、微型企业)；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洋县妇幼保健计划生育服务中心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洋县东二环路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0916-8227166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一鼎项目管理有限公司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汉中市汉台区石马路睿居品阁酒店17楼06室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0916-2610065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开户名称：一鼎项目管理有限公司汉中分公司</w:t>
            </w:r>
          </w:p>
          <w:p>
            <w:pPr>
              <w:pStyle w:val="null3"/>
            </w:pPr>
            <w:r>
              <w:rPr>
                <w:rFonts w:ascii="仿宋_GB2312" w:hAnsi="仿宋_GB2312" w:cs="仿宋_GB2312" w:eastAsia="仿宋_GB2312"/>
              </w:rPr>
              <w:t>开户银行：长安银行股份有限公司汉中莲湖东路支行</w:t>
            </w:r>
          </w:p>
          <w:p>
            <w:pPr>
              <w:pStyle w:val="null3"/>
            </w:pPr>
            <w:r>
              <w:rPr>
                <w:rFonts w:ascii="仿宋_GB2312" w:hAnsi="仿宋_GB2312" w:cs="仿宋_GB2312" w:eastAsia="仿宋_GB2312"/>
              </w:rPr>
              <w:t>银行账号：8060 6080 1421 0061 87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代理服务费收费标准：按《国家发展改革委关于进一步放开建设项目专业服务价格的通知》（发改价格〔2015〕299号）文收费标准。</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洋县妇幼保健计划生育服务中心</w:t>
      </w:r>
      <w:r>
        <w:rPr>
          <w:rFonts w:ascii="仿宋_GB2312" w:hAnsi="仿宋_GB2312" w:cs="仿宋_GB2312" w:eastAsia="仿宋_GB2312"/>
        </w:rPr>
        <w:t>和</w:t>
      </w:r>
      <w:r>
        <w:rPr>
          <w:rFonts w:ascii="仿宋_GB2312" w:hAnsi="仿宋_GB2312" w:cs="仿宋_GB2312" w:eastAsia="仿宋_GB2312"/>
        </w:rPr>
        <w:t>一鼎项目管理有限公司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洋县妇幼保健计划生育服务中心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一鼎项目管理有限公司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洋县妇幼保健计划生育服务中心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一鼎项目管理有限公司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联系电话：0916-2610065</w:t>
      </w:r>
    </w:p>
    <w:p>
      <w:pPr>
        <w:pStyle w:val="null3"/>
      </w:pPr>
      <w:r>
        <w:rPr>
          <w:rFonts w:ascii="仿宋_GB2312" w:hAnsi="仿宋_GB2312" w:cs="仿宋_GB2312" w:eastAsia="仿宋_GB2312"/>
        </w:rPr>
        <w:t>地址：汉中市汉台区石马路睿居品阁酒店17楼06室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526,996.28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洋县托育机构建设项目（电力增变项目）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标的名称：洋县托育机构建设项目（电力增变项目）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4"/>
                <w:color w:val="000000"/>
              </w:rPr>
              <w:t>（</w:t>
            </w:r>
            <w:r>
              <w:rPr>
                <w:rFonts w:ascii="仿宋_GB2312" w:hAnsi="仿宋_GB2312" w:cs="仿宋_GB2312" w:eastAsia="仿宋_GB2312"/>
                <w:sz w:val="14"/>
                <w:color w:val="000000"/>
              </w:rPr>
              <w:t>1</w:t>
            </w:r>
            <w:r>
              <w:rPr>
                <w:rFonts w:ascii="仿宋_GB2312" w:hAnsi="仿宋_GB2312" w:cs="仿宋_GB2312" w:eastAsia="仿宋_GB2312"/>
                <w:sz w:val="14"/>
                <w:color w:val="000000"/>
              </w:rPr>
              <w:t>）</w:t>
            </w:r>
            <w:r>
              <w:rPr>
                <w:rFonts w:ascii="仿宋_GB2312" w:hAnsi="仿宋_GB2312" w:cs="仿宋_GB2312" w:eastAsia="仿宋_GB2312"/>
                <w:sz w:val="14"/>
                <w:color w:val="000000"/>
              </w:rPr>
              <w:t>该工程位于汉中市洋县，主要内容为在实验楼旁绿化带新建1000kVA箱变1台，电缆检查井2座，敷设WDZ-YJLV22-8.7/15kV-3x120电缆68米，原箱变接入电缆，拆除原杆架变1台，水泥杆2根，高压计量装置1套等工程。</w:t>
            </w:r>
            <w:r>
              <w:rPr>
                <w:rFonts w:ascii="仿宋_GB2312" w:hAnsi="仿宋_GB2312" w:cs="仿宋_GB2312" w:eastAsia="仿宋_GB2312"/>
                <w:sz w:val="14"/>
                <w:color w:val="000000"/>
              </w:rPr>
              <w:t>具体内容以竞争性磋商文件、工程</w:t>
            </w:r>
            <w:r>
              <w:rPr>
                <w:rFonts w:ascii="仿宋_GB2312" w:hAnsi="仿宋_GB2312" w:cs="仿宋_GB2312" w:eastAsia="仿宋_GB2312"/>
                <w:sz w:val="14"/>
                <w:color w:val="000000"/>
              </w:rPr>
              <w:t>量清单的所有内容为准。</w:t>
            </w:r>
          </w:p>
          <w:p>
            <w:pPr>
              <w:pStyle w:val="null3"/>
            </w:pPr>
            <w:r>
              <w:rPr>
                <w:rFonts w:ascii="仿宋_GB2312" w:hAnsi="仿宋_GB2312" w:cs="仿宋_GB2312" w:eastAsia="仿宋_GB2312"/>
                <w:sz w:val="14"/>
                <w:color w:val="000000"/>
              </w:rPr>
              <w:t>（二）计划工期：自合同签订之日起</w:t>
            </w:r>
            <w:r>
              <w:rPr>
                <w:rFonts w:ascii="仿宋_GB2312" w:hAnsi="仿宋_GB2312" w:cs="仿宋_GB2312" w:eastAsia="仿宋_GB2312"/>
                <w:sz w:val="14"/>
                <w:color w:val="000000"/>
              </w:rPr>
              <w:t>70</w:t>
            </w:r>
            <w:r>
              <w:rPr>
                <w:rFonts w:ascii="仿宋_GB2312" w:hAnsi="仿宋_GB2312" w:cs="仿宋_GB2312" w:eastAsia="仿宋_GB2312"/>
                <w:sz w:val="14"/>
                <w:color w:val="000000"/>
              </w:rPr>
              <w:t>日内完成。</w:t>
            </w:r>
          </w:p>
          <w:p>
            <w:pPr>
              <w:pStyle w:val="null3"/>
            </w:pPr>
            <w:r>
              <w:rPr>
                <w:rFonts w:ascii="仿宋_GB2312" w:hAnsi="仿宋_GB2312" w:cs="仿宋_GB2312" w:eastAsia="仿宋_GB2312"/>
                <w:sz w:val="14"/>
                <w:color w:val="000000"/>
              </w:rPr>
              <w:t>（三）缺陷责任期：</w:t>
            </w:r>
            <w:r>
              <w:rPr>
                <w:rFonts w:ascii="仿宋_GB2312" w:hAnsi="仿宋_GB2312" w:cs="仿宋_GB2312" w:eastAsia="仿宋_GB2312"/>
                <w:sz w:val="14"/>
                <w:color w:val="000000"/>
              </w:rPr>
              <w:t>2</w:t>
            </w:r>
            <w:r>
              <w:rPr>
                <w:rFonts w:ascii="仿宋_GB2312" w:hAnsi="仿宋_GB2312" w:cs="仿宋_GB2312" w:eastAsia="仿宋_GB2312"/>
                <w:sz w:val="14"/>
                <w:color w:val="000000"/>
              </w:rPr>
              <w:t>年。</w:t>
            </w:r>
          </w:p>
          <w:p>
            <w:pPr>
              <w:pStyle w:val="null3"/>
            </w:pPr>
            <w:r>
              <w:rPr>
                <w:rFonts w:ascii="仿宋_GB2312" w:hAnsi="仿宋_GB2312" w:cs="仿宋_GB2312" w:eastAsia="仿宋_GB2312"/>
                <w:sz w:val="14"/>
                <w:color w:val="000000"/>
              </w:rPr>
              <w:t>（四）施工要求：</w:t>
            </w:r>
          </w:p>
          <w:p>
            <w:pPr>
              <w:pStyle w:val="null3"/>
            </w:pPr>
            <w:r>
              <w:rPr>
                <w:rFonts w:ascii="仿宋_GB2312" w:hAnsi="仿宋_GB2312" w:cs="仿宋_GB2312" w:eastAsia="仿宋_GB2312"/>
                <w:sz w:val="14"/>
                <w:color w:val="000000"/>
              </w:rPr>
              <w:t>1</w:t>
            </w:r>
            <w:r>
              <w:rPr>
                <w:rFonts w:ascii="仿宋_GB2312" w:hAnsi="仿宋_GB2312" w:cs="仿宋_GB2312" w:eastAsia="仿宋_GB2312"/>
                <w:sz w:val="14"/>
                <w:color w:val="000000"/>
              </w:rPr>
              <w:t>、成交供应商在施工期间应严格遵守国家、省、市有关防火、爆破和施工安全以及文明施工、深夜施工、环卫和城管等规定，建立规</w:t>
            </w:r>
            <w:r>
              <w:rPr>
                <w:rFonts w:ascii="仿宋_GB2312" w:hAnsi="仿宋_GB2312" w:cs="仿宋_GB2312" w:eastAsia="仿宋_GB2312"/>
                <w:sz w:val="14"/>
                <w:color w:val="000000"/>
              </w:rPr>
              <w:t>章制度和防护措施</w:t>
            </w:r>
            <w:r>
              <w:rPr>
                <w:rFonts w:ascii="仿宋_GB2312" w:hAnsi="仿宋_GB2312" w:cs="仿宋_GB2312" w:eastAsia="仿宋_GB2312"/>
                <w:sz w:val="14"/>
                <w:color w:val="000000"/>
              </w:rPr>
              <w:t xml:space="preserve">, </w:t>
            </w:r>
            <w:r>
              <w:rPr>
                <w:rFonts w:ascii="仿宋_GB2312" w:hAnsi="仿宋_GB2312" w:cs="仿宋_GB2312" w:eastAsia="仿宋_GB2312"/>
                <w:sz w:val="14"/>
                <w:color w:val="000000"/>
              </w:rPr>
              <w:t>应按安全施工的要求，采取严格科学的安全措施，确保施工安全和第三者的安全，确保工程质量和生产安全。否则</w:t>
            </w:r>
            <w:r>
              <w:rPr>
                <w:rFonts w:ascii="仿宋_GB2312" w:hAnsi="仿宋_GB2312" w:cs="仿宋_GB2312" w:eastAsia="仿宋_GB2312"/>
                <w:sz w:val="14"/>
                <w:color w:val="000000"/>
              </w:rPr>
              <w:t>，由此造成的经济和法律责任均由成交人负责。</w:t>
            </w:r>
          </w:p>
          <w:p>
            <w:pPr>
              <w:pStyle w:val="null3"/>
            </w:pPr>
            <w:r>
              <w:rPr>
                <w:rFonts w:ascii="仿宋_GB2312" w:hAnsi="仿宋_GB2312" w:cs="仿宋_GB2312" w:eastAsia="仿宋_GB2312"/>
                <w:sz w:val="14"/>
                <w:color w:val="000000"/>
              </w:rPr>
              <w:t>2</w:t>
            </w:r>
            <w:r>
              <w:rPr>
                <w:rFonts w:ascii="仿宋_GB2312" w:hAnsi="仿宋_GB2312" w:cs="仿宋_GB2312" w:eastAsia="仿宋_GB2312"/>
                <w:sz w:val="14"/>
                <w:color w:val="000000"/>
              </w:rPr>
              <w:t>、成交供应商应配合项目建设进度</w:t>
            </w:r>
            <w:r>
              <w:rPr>
                <w:rFonts w:ascii="仿宋_GB2312" w:hAnsi="仿宋_GB2312" w:cs="仿宋_GB2312" w:eastAsia="仿宋_GB2312"/>
                <w:sz w:val="14"/>
                <w:color w:val="000000"/>
              </w:rPr>
              <w:t>,</w:t>
            </w:r>
            <w:r>
              <w:rPr>
                <w:rFonts w:ascii="仿宋_GB2312" w:hAnsi="仿宋_GB2312" w:cs="仿宋_GB2312" w:eastAsia="仿宋_GB2312"/>
                <w:sz w:val="14"/>
                <w:color w:val="000000"/>
              </w:rPr>
              <w:t>向采购人提供施工组织计划、进度计划和施工作业计划，并签订施工安全责任书。</w:t>
            </w:r>
          </w:p>
          <w:p>
            <w:pPr>
              <w:pStyle w:val="null3"/>
            </w:pPr>
            <w:r>
              <w:rPr>
                <w:rFonts w:ascii="仿宋_GB2312" w:hAnsi="仿宋_GB2312" w:cs="仿宋_GB2312" w:eastAsia="仿宋_GB2312"/>
                <w:sz w:val="14"/>
                <w:color w:val="000000"/>
              </w:rPr>
              <w:t>（五）质量保证：工程质量达到国家现行施工验收规范合格标准，并符合采购文件、合同以及采购方使用需求。</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以磋商文件要求为准。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1、在成交结果公示后，成交供应商向代理机构提交纸质投标文件叁份、分别胶装，加盖骑缝章，电子版U盘贰份，内容和通过电子化交易平台实施的政府采购项目提交的投标文件一致。 2、保证金若以金融机构、担保机构出具的保函形式则须在开标前一个工作日告知采购代理机构。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汉中市财政局《关于全面推行政府采购供应商基本资格条件承诺制的通知》(汉财办采 管(2024)20号)文件要求，提供满足相应条件的资格承诺函；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应具备建设行政主管部门颁发合法有效的电力工程施工总承包三级及以上资质或输变电工程专业承包三级及以上资质，同时具备电力设施施工《承装（修、试）电力设施许可证》承装、承修三级及以上资质，以及合法有效的安全生产许可证，并在人员、设备、资金等方面具备相应施工能力且无不良记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拟派项目负责人证书等级：二级及以上注册建造师资格 专业：机电工程专业 补充说明：安全生产考核合格证，且无在建工程(出具无在建承诺书)。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 3 年内经营活动无重大违法记录 ； 投标人未被列入“信用中国”网站(https://www.creditchina.gov.cn)“失信被执行人”“重大税收违法案件当事人名单”中，也未列入“中国政府采购网”(https://www.ccgp.gov.cn)的“政府采购严重违法失信行为记录名单 ”；拟参与本项目的投标人应按照汉中市财政局《关于全面推行政府采购供应商基本资格条件承诺制的通知》 (汉财办采管(20 24)20 号)文件要求，提供满足相应条件的资格承诺函；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本项目专门面向中小企业采购,供应商须提供《中小企业声明函》原件，供应商为监狱企业的，应提供监狱企业的证明文件；供应商为残疾人福利性单位的，应提供《残疾人福利性单位声明函》 (监狱企业或残疾人福利性单位视同小型、微型企业)；</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 显低于其他实质性响应的投标人报价，有可能 影响产品质量或者不能诚信履约的，评标委员 会应当要求其在合理的时间内提供成本构成书 面说明，并提交相关证明材料。书面说明应当 按照国家财务会计制度的规定要求，逐项就投 标人提供的货物、工程和服务的主营业务成本 （应根据投标人企业类型予以区别）、税金及 附加、销售费用、管理费用、财务费用等成本 构成事项详细陈述。 2.投标人提交的相关说明 和证明材料，应当加盖投标人（法定名称）电 子印章，在评标委员会要求的时间内通过项目 电子化交易系统进行提交，否则提交的相关证 明材料无效。投标人不能证明其投标报价合理 性的，评标委员会应当将其投标文件作为无效 处理。 3.政府采购评审中出现下列情形之一的 ，评审委员会应当启动异常低价投标（响应） 审查程序： 3.1.投标（响应）报价低于全部通 过符合性审查供应商投标（响应）报价平均值5 0%的，即投标（响应）报价&lt;全部通过符合性 审查供应商投标（响应）报价平均值×50%； 3.2.投标（响应）报价低于通过符合性审查的次 低报价供应商投标（响应）报价50%的，即投 标（响应）报价&lt;通过符合性审查的次低报价供 应商投标（响应）报价×50%； 3.3.投标（响 应）报价低于采购项目最高限价45%的，即投 标（响应）报价&lt;采购项目最高限价×45%； 3 .4.评审委员会基于专业判断，认为供应商报价 过低，有可能影响产品质量或者不能诚信履约 的其他情形。 采购人可以结合具体项目实际情 况，提高上述第3.1项至第3.3项中启动异常低 价投标（响应）审查的数值标准，但是最高不 得超过65%。 相关法律法规对供应商报价 有规 定的，从其规定。</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投标文件的电子签章</w:t>
            </w:r>
          </w:p>
        </w:tc>
        <w:tc>
          <w:tcPr>
            <w:tcW w:type="dxa" w:w="3322"/>
          </w:tcPr>
          <w:p>
            <w:pPr>
              <w:pStyle w:val="null3"/>
            </w:pPr>
            <w:r>
              <w:rPr>
                <w:rFonts w:ascii="仿宋_GB2312" w:hAnsi="仿宋_GB2312" w:cs="仿宋_GB2312" w:eastAsia="仿宋_GB2312"/>
              </w:rPr>
              <w:t>投标文件按招标要求进行电子签章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评审方案.docx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投标文件内容及格式</w:t>
            </w:r>
          </w:p>
        </w:tc>
        <w:tc>
          <w:tcPr>
            <w:tcW w:type="dxa" w:w="3322"/>
          </w:tcPr>
          <w:p>
            <w:pPr>
              <w:pStyle w:val="null3"/>
            </w:pPr>
            <w:r>
              <w:rPr>
                <w:rFonts w:ascii="仿宋_GB2312" w:hAnsi="仿宋_GB2312" w:cs="仿宋_GB2312" w:eastAsia="仿宋_GB2312"/>
              </w:rPr>
              <w:t>符合磋商文件要求，响应文件内容齐全、无遗漏</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评审方案.docx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报价唯一，未超出采购预算或磋商文件规定的最高限价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不存在其他不符合法律法规或磋商文件规定的响应无效条款的情形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评审方案.docx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供应商提供2023年1月至今完成的类似业绩证明，每提供一份计2.5分，最高计5.0分；（以合同签订时间为准） 注：业绩须是供应商完成的类似项目，以成交通知书或协议书（合同）为准。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项目经理部组成人员</w:t>
            </w:r>
          </w:p>
        </w:tc>
        <w:tc>
          <w:tcPr>
            <w:tcW w:type="dxa" w:w="2492"/>
          </w:tcPr>
          <w:p>
            <w:pPr>
              <w:pStyle w:val="null3"/>
            </w:pPr>
            <w:r>
              <w:rPr>
                <w:rFonts w:ascii="仿宋_GB2312" w:hAnsi="仿宋_GB2312" w:cs="仿宋_GB2312" w:eastAsia="仿宋_GB2312"/>
              </w:rPr>
              <w:t>供应商针对本项目有具体的配置人员专业、数量、职称及相关经验，详细的实施人员安排，分工合理、责任明确。包括但不限于：①团队人员配置清单及岗位职责、且证书证件合格有效；②提供人员到场及不更换人员承诺。以上各项内容全面明确、阐述条理清晰得10分，每缺一项扣5分，每项中的内容存在缺陷，扣0.1-4.9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供应商针对本项目有具体的质量保证方案。包括但不限于：①质量保证体系；②质量保证的具体措施。以上各项内容全面明确、阐述条理清晰得10分，每缺一项扣5分，每项中的内容存在缺陷，扣0.1-4.9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供应商针对本项目有具体的确保文明施工及环境保护措施方案。包括但不限于：①文明施工保障体系；②文明施工保障措施；③环境保护体系；④环境保护措施；⑤扬尘治理措施。以上各项内容全面明确、阐述条理清晰得10分，每缺一项扣2分，每项中的内容存在缺陷，扣0.1-1.9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确保安全生产组织措施</w:t>
            </w:r>
          </w:p>
        </w:tc>
        <w:tc>
          <w:tcPr>
            <w:tcW w:type="dxa" w:w="2492"/>
          </w:tcPr>
          <w:p>
            <w:pPr>
              <w:pStyle w:val="null3"/>
            </w:pPr>
            <w:r>
              <w:rPr>
                <w:rFonts w:ascii="仿宋_GB2312" w:hAnsi="仿宋_GB2312" w:cs="仿宋_GB2312" w:eastAsia="仿宋_GB2312"/>
              </w:rPr>
              <w:t>供应商针对本项目有具体的安全生产组织措施。包括但不限于：①安全保证体系；②安全保证的具体措施。以上各项内容全面明确、阐述条理清晰得10分，每缺一项扣5分，每项中的内容存在缺陷，扣0.1-4.9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供应商针对本项目有具体的工期保证方案。包括但不限于：①具体可行的施工进度计划表（图）；②工期保证的具体措施。以上各项内容全面明确、阐述条理清晰得10分，每缺一项扣5分，每项中的内容存在缺陷，扣0.1-4.9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提供针对本项目的实施方案，包括但不限于:①编制完善的施工组织设计；②本项目实施重难点分析；③劳动力保障方案；④机械设备清单及维护方案；⑤验收交付方案。以上各项内容全面明确、阐述条理清晰得15分，每缺一项扣3分，每项中的内容存在缺陷，扣0.1-2.9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1、上限为采购最高限价，即报价大于上限价视为无效标；2、以满足本次磋商文件要求的最低报价为评审基准价，其价格为满分；3、投标供应商报价得分=（评审基准价/报价）×30 （本项目为专门面向中小企业采购项目，不再执行价格评审优惠扶持政策）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详见附件：评审方案.docx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