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版本号：ZXGJZCB-(2026）00120260316001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洋县“十五五”交通运输综合发展规划编制服务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ZXGJZCB-(2026）001</w:t>
      </w:r>
      <w:r>
        <w:br/>
      </w:r>
      <w:r>
        <w:br/>
      </w:r>
      <w:r>
        <w:br/>
      </w:r>
    </w:p>
    <w:p>
      <w:pPr>
        <w:pStyle w:val="null3"/>
        <w:jc w:val="center"/>
        <w:outlineLvl w:val="2"/>
      </w:pPr>
      <w:r>
        <w:rPr>
          <w:rFonts w:ascii="仿宋_GB2312" w:hAnsi="仿宋_GB2312" w:cs="仿宋_GB2312" w:eastAsia="仿宋_GB2312"/>
          <w:sz w:val="28"/>
          <w:b/>
        </w:rPr>
        <w:t>洋县交通运输局（机关）</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洋县交通运输局（机关）</w:t>
      </w:r>
      <w:r>
        <w:rPr>
          <w:rFonts w:ascii="仿宋_GB2312" w:hAnsi="仿宋_GB2312" w:cs="仿宋_GB2312" w:eastAsia="仿宋_GB2312"/>
        </w:rPr>
        <w:t>委托，拟对</w:t>
      </w:r>
      <w:r>
        <w:rPr>
          <w:rFonts w:ascii="仿宋_GB2312" w:hAnsi="仿宋_GB2312" w:cs="仿宋_GB2312" w:eastAsia="仿宋_GB2312"/>
        </w:rPr>
        <w:t>洋县“十五五”交通运输综合发展规划编制服务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ZXGJZCB-(2026）001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洋县“十五五”交通运输综合发展规划编制服务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完成洋县十五五交通运输综合发展规划编制，获得有关部门批复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采购包1（洋县“十五五”交通运输综合发展规划编制服务）：属于专门面向中小企业采购。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须具有独立承担民事责任的能力，提供营业执照、税务登记证、组织机构代码证或具有统一社会信用代码的营业执照（或《事业单位法人证书》或其他合法组织登记证书、自然人只须提交身份证）</w:t>
      </w:r>
    </w:p>
    <w:p>
      <w:pPr>
        <w:pStyle w:val="null3"/>
      </w:pPr>
      <w:r>
        <w:rPr>
          <w:rFonts w:ascii="仿宋_GB2312" w:hAnsi="仿宋_GB2312" w:cs="仿宋_GB2312" w:eastAsia="仿宋_GB2312"/>
        </w:rPr>
        <w:t>2、授权委托书：供应商需提供法定代表人授权书（附法定代表人身份证复印件）及被授权人身份证复印件（法定代表人直接参加投标只须提供法定代表人身份证复印件）</w:t>
      </w:r>
    </w:p>
    <w:p>
      <w:pPr>
        <w:pStyle w:val="null3"/>
      </w:pPr>
      <w:r>
        <w:rPr>
          <w:rFonts w:ascii="仿宋_GB2312" w:hAnsi="仿宋_GB2312" w:cs="仿宋_GB2312" w:eastAsia="仿宋_GB2312"/>
        </w:rPr>
        <w:t>3、资格承诺函：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号）文件要求，提供资格承诺函，（未提供承诺函的，应当按照《中华人民共和国政府采购法》及其实施条例等相关法律法规规定提供相应的证明材料）供应商需在项目电子化交易系统中按要求上传相应证明文件并进行电子签章。</w:t>
      </w:r>
    </w:p>
    <w:p>
      <w:pPr>
        <w:pStyle w:val="null3"/>
      </w:pPr>
      <w:r>
        <w:rPr>
          <w:rFonts w:ascii="仿宋_GB2312" w:hAnsi="仿宋_GB2312" w:cs="仿宋_GB2312" w:eastAsia="仿宋_GB2312"/>
        </w:rPr>
        <w:t>4、企业资质：供应商须具备行政主管部门核发的城乡规划编制乙级及以上资质。</w:t>
      </w:r>
    </w:p>
    <w:p>
      <w:pPr>
        <w:pStyle w:val="null3"/>
      </w:pPr>
      <w:r>
        <w:rPr>
          <w:rFonts w:ascii="仿宋_GB2312" w:hAnsi="仿宋_GB2312" w:cs="仿宋_GB2312" w:eastAsia="仿宋_GB2312"/>
        </w:rPr>
        <w:t>5、项目负责人：项目负责人须具备城乡规划相关专业中级及以上技术职称</w:t>
      </w:r>
    </w:p>
    <w:p>
      <w:pPr>
        <w:pStyle w:val="null3"/>
      </w:pPr>
      <w:r>
        <w:rPr>
          <w:rFonts w:ascii="仿宋_GB2312" w:hAnsi="仿宋_GB2312" w:cs="仿宋_GB2312" w:eastAsia="仿宋_GB2312"/>
        </w:rPr>
        <w:t>6、非联合体：本项目不接受联合体投标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洋县交通运输局（机关）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洋县南环路74号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洋县交通运输局（机关）经办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13649161017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陕西省汉中市汉台区东大街街道办事处王府广场办公楼5楼507室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房雪姣 朱会君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0916-8888177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开户名称：中昕国际项目管理有限公司</w:t>
            </w:r>
          </w:p>
          <w:p>
            <w:pPr>
              <w:pStyle w:val="null3"/>
            </w:pPr>
            <w:r>
              <w:rPr>
                <w:rFonts w:ascii="仿宋_GB2312" w:hAnsi="仿宋_GB2312" w:cs="仿宋_GB2312" w:eastAsia="仿宋_GB2312"/>
              </w:rPr>
              <w:t>开户银行：平安银行股份有限公司西安经济技术开发区支行</w:t>
            </w:r>
          </w:p>
          <w:p>
            <w:pPr>
              <w:pStyle w:val="null3"/>
            </w:pPr>
            <w:r>
              <w:rPr>
                <w:rFonts w:ascii="仿宋_GB2312" w:hAnsi="仿宋_GB2312" w:cs="仿宋_GB2312" w:eastAsia="仿宋_GB2312"/>
              </w:rPr>
              <w:t>银行账号：30201687008315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 号)《招标代理服务收费管理暂行办法》和国家发展改革委办公厅（发改办价格【2003】857 号）和国家发展改革委（发改价格【2011】534 号）文件的服务类规定计取。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洋县交通运输局（机关）</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洋县交通运输局（机关）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洋县交通运输局（机关）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符合现行国家标准、行业标准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联系人：房雪姣 朱会君</w:t>
      </w:r>
    </w:p>
    <w:p>
      <w:pPr>
        <w:pStyle w:val="null3"/>
      </w:pPr>
      <w:r>
        <w:rPr>
          <w:rFonts w:ascii="仿宋_GB2312" w:hAnsi="仿宋_GB2312" w:cs="仿宋_GB2312" w:eastAsia="仿宋_GB2312"/>
        </w:rPr>
        <w:t>联系电话：0916-8888177</w:t>
      </w:r>
    </w:p>
    <w:p>
      <w:pPr>
        <w:pStyle w:val="null3"/>
      </w:pPr>
      <w:r>
        <w:rPr>
          <w:rFonts w:ascii="仿宋_GB2312" w:hAnsi="仿宋_GB2312" w:cs="仿宋_GB2312" w:eastAsia="仿宋_GB2312"/>
        </w:rPr>
        <w:t>地址：陕西省汉中市汉台区东大街街道办事处王府广场办公楼5楼507室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完成洋县十五五交通运输综合发展规划编制，获得有关部门批复</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完成洋县十五五交通运输综合发展规划编制.获得有关部门批复</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标的名称：完成洋县十五五交通运输综合发展规划编制.获得有关部门批复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sz w:val="24"/>
              </w:rPr>
              <w:t>1、规划编制的总体要求</w:t>
            </w:r>
          </w:p>
          <w:p>
            <w:pPr>
              <w:pStyle w:val="null3"/>
              <w:spacing w:before="105" w:after="105"/>
              <w:jc w:val="both"/>
            </w:pPr>
            <w:r>
              <w:rPr>
                <w:rFonts w:ascii="仿宋_GB2312" w:hAnsi="仿宋_GB2312" w:cs="仿宋_GB2312" w:eastAsia="仿宋_GB2312"/>
                <w:sz w:val="24"/>
              </w:rPr>
              <w:t>本项目规划编制内容须全面、客观，符合城区发展情况。</w:t>
            </w:r>
          </w:p>
          <w:p>
            <w:pPr>
              <w:pStyle w:val="null3"/>
              <w:spacing w:before="105" w:after="105"/>
              <w:jc w:val="both"/>
            </w:pPr>
            <w:r>
              <w:rPr>
                <w:rFonts w:ascii="仿宋_GB2312" w:hAnsi="仿宋_GB2312" w:cs="仿宋_GB2312" w:eastAsia="仿宋_GB2312"/>
                <w:sz w:val="24"/>
              </w:rPr>
              <w:t>2、最终成果文件提交基本方式及其他要求</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1）规划编制单位须提交成果文件为：报告编制文件及规划编制图；</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2）成果文件形式：纸质提交；</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3）成果文件提交数量：纸质版文件4份电子文件1份。</w:t>
            </w:r>
          </w:p>
          <w:p>
            <w:pPr>
              <w:pStyle w:val="null3"/>
              <w:spacing w:before="105" w:after="105"/>
              <w:jc w:val="both"/>
            </w:pPr>
            <w:r>
              <w:rPr>
                <w:rFonts w:ascii="仿宋_GB2312" w:hAnsi="仿宋_GB2312" w:cs="仿宋_GB2312" w:eastAsia="仿宋_GB2312"/>
                <w:sz w:val="24"/>
              </w:rPr>
              <w:t>3、服务要求</w:t>
            </w:r>
          </w:p>
          <w:p>
            <w:pPr>
              <w:pStyle w:val="null3"/>
              <w:spacing w:before="105" w:after="105"/>
              <w:jc w:val="both"/>
            </w:pPr>
            <w:r>
              <w:rPr>
                <w:rFonts w:ascii="仿宋_GB2312" w:hAnsi="仿宋_GB2312" w:cs="仿宋_GB2312" w:eastAsia="仿宋_GB2312"/>
                <w:sz w:val="24"/>
              </w:rPr>
              <w:t>（</w:t>
            </w:r>
            <w:r>
              <w:rPr>
                <w:rFonts w:ascii="仿宋_GB2312" w:hAnsi="仿宋_GB2312" w:cs="仿宋_GB2312" w:eastAsia="仿宋_GB2312"/>
                <w:sz w:val="24"/>
              </w:rPr>
              <w:t>1）完成规划编制；</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2）规划编制要符合国家、陕西省、汉中市及相关行政主管部门颁布的要求，成果需满足国家及行业标准，达到规划编制深度要求。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验收方式：成交单位完成编制后，由采购人核查验收。 验收标准：按照采购合同的约定和现行国家标准、行业标准以及企业标准对每一项技术、服务、安全标准的履约情况进行确认。</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成果文件完成初稿后，并提交至甲方处</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成果文件经政府有关部门审查或验收合格后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成交结果公示结束后3个工作日内向代理机构提供纸质版响应文件，响应文件为正本一份，副本二份（响应文件内容须与电子交易平台上传文件内容保持一致）。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供应商须具有独立承担民事责任的能力，提供营业执照、税务登记证、组织机构代码证或具有统一社会信用代码的营业执照（或《事业单位法人证书》或其他合法组织登记证书、自然人只须提交身份证）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供应商需提供法定代表人授权书（附法定代表人身份证复印件）及被授权人身份证复印件（法定代表人直接参加投标只须提供法定代表人身份证复印件）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号）文件要求，提供资格承诺函，（未提供承诺函的，应当按照《中华人民共和国政府采购法》及其实施条例等相关法律法规规定提供相应的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供应商须具备行政主管部门核发的城乡规划编制乙级及以上资质。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项目负责人须具备城乡规划相关专业中级及以上技术职称</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服务内容及服务邀请应答表 商务应答表 服务方案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根据投标供应商提供的针对本项目的分析理解，对项目理解和项目所在地区条件的认识，方案中包括但不限于：①项目的必要性分析；②发展思路及目标；③任务和要求；④对本项目重难点分析以及解决方案；⑤主要框架项目分析理解各部分内容全面详细、阐述条理清晰详尽、符合本项目采购需求得 14-20分；实施方案简单，内容不全面得计 7-13.9 分；有内容但不符合项目要求得计 1-6.9 分；没有不得分。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投标供应商提供的针对本项目的实施方案，方案中包括但不限于：①调查研究；②问题分析、研究；③规划及报告编制；④政策研究；⑤服务保障措施。方案各部分内容全面详细、阐述条理清晰详尽、符合本项目采购需求得10-15分；实施方案简单，内容不全面得计5-9.9 分；有内容但不符合项目要求得计1-4.9 分；没有不得分。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根据投标供应商提供的针对本项目的质量保证措施进行评审，方案中包括但不限于：①质量管理方案及制度；②质量保证措施及承诺；③质量校核流程；④处罚承诺。方案各部分内容全面详细、阐述条理清晰详尽、符合本项目采购需求得 9-12 分；实施方案简单，内容不全面得计 5-8.9 分；有内容但不符合项目要求得计 1-4.9 分；没有不得分。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工作进度计划和进度保障措施</w:t>
            </w:r>
          </w:p>
        </w:tc>
        <w:tc>
          <w:tcPr>
            <w:tcW w:type="dxa" w:w="2492"/>
          </w:tcPr>
          <w:p>
            <w:pPr>
              <w:pStyle w:val="null3"/>
            </w:pPr>
            <w:r>
              <w:rPr>
                <w:rFonts w:ascii="仿宋_GB2312" w:hAnsi="仿宋_GB2312" w:cs="仿宋_GB2312" w:eastAsia="仿宋_GB2312"/>
              </w:rPr>
              <w:t>根据投标供应商针对本项目提供的工作进度计划和进度保障措施等内容进行评审，方案中包括但不限于：①项目进度保障管理及措施；②服务响应及时程度、现场管理；③时间节点划分。方案各部分内容全面详细、阐述条理清晰详尽、符合本项目采购需求得 7-10 分；实施方案简单，内容不全面得计 4-6.9 分；有内容但不符合项目要求得计 1-3.9 分；没有不得分。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合理化建议及承诺</w:t>
            </w:r>
          </w:p>
        </w:tc>
        <w:tc>
          <w:tcPr>
            <w:tcW w:type="dxa" w:w="2492"/>
          </w:tcPr>
          <w:p>
            <w:pPr>
              <w:pStyle w:val="null3"/>
            </w:pPr>
            <w:r>
              <w:rPr>
                <w:rFonts w:ascii="仿宋_GB2312" w:hAnsi="仿宋_GB2312" w:cs="仿宋_GB2312" w:eastAsia="仿宋_GB2312"/>
              </w:rPr>
              <w:t>供应商需结合项目的实际制定符合本项目的合理化建议及承诺，方案中包括但不限于：①编制工作中可能遇到的问题进行预计、识别并清晰地加以阐述和分析，提出合理化建议；②承诺成果能够通过各主管部门组织的技术审查和论证。方案各部分内容全面详细、阐述条理清晰详尽、符合本项目采购需求得5-10分；有内容但不符合项目要求得计1-4.9 分；没有不得分。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根据投标供应商的保密方案，包括但不限于：①保密承诺；②保密岗位责任。方案各部分内容全面详细、阐述条理清晰详尽、符合本项目采购需求得 5-3分；有内容但不符合项目要求得计 1-2.9分；没有不得分。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具有近三年（2023年1月-至今）类似项目业绩，每提供1个业绩得2.5分，最多得10分（以合同复印件加盖公章为准）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项目组成人员</w:t>
            </w:r>
          </w:p>
        </w:tc>
        <w:tc>
          <w:tcPr>
            <w:tcW w:type="dxa" w:w="2492"/>
          </w:tcPr>
          <w:p>
            <w:pPr>
              <w:pStyle w:val="null3"/>
            </w:pPr>
            <w:r>
              <w:rPr>
                <w:rFonts w:ascii="仿宋_GB2312" w:hAnsi="仿宋_GB2312" w:cs="仿宋_GB2312" w:eastAsia="仿宋_GB2312"/>
              </w:rPr>
              <w:t>配备项目组成员专业技术能力强，人员组成合理，具有相关工作经验，能全面高效地完成本项目计 4-6 分；人员配备不充足，不符合项目要求得计 1-3.9 分（须提供项目组成员相关证明材料，包括但不限于身份证、学历证、职称证等）。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满足竞争性磋商文件要求且投标价格最低的投标报价为评标基准价，其价格分为满分。其他投标供应商的价格分统一按照下列公式计算：投标报价得分=（评标基准价/投标报价）×10%×100。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