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版本号：YDFZ-2026-00320260415002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2026年洋县纸坊街道文同村林下经济（松茸菌）栽种基地项目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YDFZ-2026-003</w:t>
      </w:r>
      <w:r>
        <w:br/>
      </w:r>
      <w:r>
        <w:br/>
      </w:r>
      <w:r>
        <w:br/>
      </w:r>
    </w:p>
    <w:p>
      <w:pPr>
        <w:pStyle w:val="null3"/>
        <w:jc w:val="center"/>
        <w:outlineLvl w:val="2"/>
      </w:pPr>
      <w:r>
        <w:rPr>
          <w:rFonts w:ascii="仿宋_GB2312" w:hAnsi="仿宋_GB2312" w:cs="仿宋_GB2312" w:eastAsia="仿宋_GB2312"/>
          <w:sz w:val="28"/>
          <w:b/>
        </w:rPr>
        <w:t>洋县纸坊街道办事处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洋县纸坊街道办事处</w:t>
      </w:r>
      <w:r>
        <w:rPr>
          <w:rFonts w:ascii="仿宋_GB2312" w:hAnsi="仿宋_GB2312" w:cs="仿宋_GB2312" w:eastAsia="仿宋_GB2312"/>
        </w:rPr>
        <w:t>委托，拟对</w:t>
      </w:r>
      <w:r>
        <w:rPr>
          <w:rFonts w:ascii="仿宋_GB2312" w:hAnsi="仿宋_GB2312" w:cs="仿宋_GB2312" w:eastAsia="仿宋_GB2312"/>
        </w:rPr>
        <w:t>2026年洋县纸坊街道文同村林下经济（松茸菌）栽种基地项目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2026年洋县纸坊街道文同村林下经济（松茸菌）栽种基地项目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洋县纸坊街道文同村林下经济（松茸菌）栽种基地项目，主要建设内容为：新发展12亩松茸菌，配套喷淋管网4230米；建钢结构210平方米生产厂房；烘干设备一套配套建设水电设施等；围栏393米。完成工程量清单所有内容。工期：60日历天。质量标准：质量达到验收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采购包1（2026年洋县纸坊街道文同村林下经济（松茸菌）栽种基地项目）：属于专门面向中小企业采购。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6、中小企业声明函：本项目专门面向中小企业采购，供应商须提供中小企业声明函；</w:t>
      </w:r>
    </w:p>
    <w:p>
      <w:pPr>
        <w:pStyle w:val="null3"/>
      </w:pPr>
      <w:r>
        <w:rPr>
          <w:rFonts w:ascii="仿宋_GB2312" w:hAnsi="仿宋_GB2312" w:cs="仿宋_GB2312" w:eastAsia="仿宋_GB2312"/>
        </w:rPr>
        <w:t>7、控股、管理关系：单位负责人为同一人或者存在控股、管理关系的不同单位，不得同时参加本采购项目磋商。违反规定的，其响应均无效；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8、非联合体投标声明：本项目不接受联合体投标，供应商需提供非联合体书面声明。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洋县纸坊街道办事处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洋县草坝村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洋县纸坊街道办事处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0916-8319339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洋县纸坊街道办事处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洋县纸坊街道办事处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洋县纸坊街道办事处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依照施工合同标准执行。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 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2026年洋县纸坊街道文同村林下经济（松茸菌）栽种基地项目，主要建设内容为：新发展12亩松茸菌，配套喷淋管网4230米；建钢结构210平方米生产厂房；烘干设备一套配套建设水电设施等；围栏393米。完成工程量清单所有内容。工期：60日历天。质量标准：质量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拟参与本项目的供应商应按照汉中市财政局《关于全面推行政府采购供应商基本资格条件承诺制的通知》(汉财办采管(2024)20号)文件要求，提供《汉中市政府采购供应商资格承诺函》并加盖公章；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供应商认为需要提交的其他材料.docx 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供应商认为需要提交的其他材料.docx 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供应商认为需要提交的其他材料.docx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供应商认为需要提交的其他材料.docx 特定资格要求.docx 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供应商认为需要提交的其他材料.docx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供应商认为需要提交的其他材料.docx 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评审小组根据供应商响应文件中针对本项目具有完善的项目管理方案，整个项目的实施组织机构、人员、总体工程安排合理。优秀得8-10分；一般得5-7分；较差得0-4分；此项满分为10.0分；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主要分部分项工程施工有具体方案，分工合理、责任明确进行横向比较赋分，优秀得7-10分；一般得4-6分；较差得0-3分；此项满分为10.0分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本项目施工工程质量保证措施、管理体系的规划及合理性、可操作性</w:t>
            </w:r>
          </w:p>
        </w:tc>
        <w:tc>
          <w:tcPr>
            <w:tcW w:type="dxa" w:w="2492"/>
          </w:tcPr>
          <w:p>
            <w:pPr>
              <w:pStyle w:val="null3"/>
            </w:pPr>
            <w:r>
              <w:rPr>
                <w:rFonts w:ascii="仿宋_GB2312" w:hAnsi="仿宋_GB2312" w:cs="仿宋_GB2312" w:eastAsia="仿宋_GB2312"/>
              </w:rPr>
              <w:t>评审小组根据供应商响应文件中针对本项目施工工程质量保证措施、管理体系的规划及合理性、可操作性进行横向比较赋分，优秀得6-8分；一般得3-5分；较差得0-2分；此项满分为8.0分；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本项目施工工程安全生产保证措施、管理体系的规划及合理性、可操作性</w:t>
            </w:r>
          </w:p>
        </w:tc>
        <w:tc>
          <w:tcPr>
            <w:tcW w:type="dxa" w:w="2492"/>
          </w:tcPr>
          <w:p>
            <w:pPr>
              <w:pStyle w:val="null3"/>
            </w:pPr>
            <w:r>
              <w:rPr>
                <w:rFonts w:ascii="仿宋_GB2312" w:hAnsi="仿宋_GB2312" w:cs="仿宋_GB2312" w:eastAsia="仿宋_GB2312"/>
              </w:rPr>
              <w:t>评审小组根据供应商响应文件中针对本项目施工工程安全生产保证措施、管理体系的规划及合理性、可操作性进行横向比较赋分，优秀得6-8分；一般得3-5分；较差得0-2分；此项满分为8.0分；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本项目施工工期的规划及合理性、可操作性</w:t>
            </w:r>
          </w:p>
        </w:tc>
        <w:tc>
          <w:tcPr>
            <w:tcW w:type="dxa" w:w="2492"/>
          </w:tcPr>
          <w:p>
            <w:pPr>
              <w:pStyle w:val="null3"/>
            </w:pPr>
            <w:r>
              <w:rPr>
                <w:rFonts w:ascii="仿宋_GB2312" w:hAnsi="仿宋_GB2312" w:cs="仿宋_GB2312" w:eastAsia="仿宋_GB2312"/>
              </w:rPr>
              <w:t>评审小组根据供应商响应文件中针对本项目施工工期的规划及合理性、可操作性进行横向比较赋分，优秀得6-7分；一般得3-5分；较差得0-2分；此项满分为7.0分；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文明施工、环保、节约能源等相关的制度与施工措施</w:t>
            </w:r>
          </w:p>
        </w:tc>
        <w:tc>
          <w:tcPr>
            <w:tcW w:type="dxa" w:w="2492"/>
          </w:tcPr>
          <w:p>
            <w:pPr>
              <w:pStyle w:val="null3"/>
            </w:pPr>
            <w:r>
              <w:rPr>
                <w:rFonts w:ascii="仿宋_GB2312" w:hAnsi="仿宋_GB2312" w:cs="仿宋_GB2312" w:eastAsia="仿宋_GB2312"/>
              </w:rPr>
              <w:t>建立文明施工、环境保护、减少噪音，降低环境污染、节约能源等相关的制度与施工措施；优秀得6-7分；一般得3-5分；较差得0-2分；此项满分为7.0分；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施工机械配备和材料</w:t>
            </w:r>
          </w:p>
        </w:tc>
        <w:tc>
          <w:tcPr>
            <w:tcW w:type="dxa" w:w="2492"/>
          </w:tcPr>
          <w:p>
            <w:pPr>
              <w:pStyle w:val="null3"/>
            </w:pPr>
            <w:r>
              <w:rPr>
                <w:rFonts w:ascii="仿宋_GB2312" w:hAnsi="仿宋_GB2312" w:cs="仿宋_GB2312" w:eastAsia="仿宋_GB2312"/>
              </w:rPr>
              <w:t>施工机械配备和材料投入计划，优秀得3-5分；一般得0-2分；此项满分为5.0分；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技术负责人4分：同时提供身份证、毕业证、建安安B证得2分，取得工程类中级及以上职称加1分； 具有安全员、质量员、施工员、材料员、资料员，身份证、岗位证齐全得6分，（缺一个扣2分，扣完为止；）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供应商认为需要提交的其他材料.docx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供应商提供2023年至今类似项目业绩，每提供一份得2.0分，此项最高得5.0分； 注：业绩以中标通知书或合同（协议书）复印件为准。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上限为采购最高限价，即报价大于上限价视为无效标。满足磋商文件要求且磋商响应最低的报价（最后的响应报价）为评标基准价，其价格分为满分。其他磋商供应商的价格分统一按照下列公式计算：磋商报价得分=（评标基准价/磋商报价）×价格权值%×100。注：本项目为专门面向中小企业采购的项目，不在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详见附件：特定资格要求.docx</w:t>
      </w:r>
    </w:p>
    <w:p>
      <w:pPr>
        <w:pStyle w:val="null3"/>
        <w:ind w:firstLine="960"/>
      </w:pPr>
      <w:r>
        <w:rPr>
          <w:rFonts w:ascii="仿宋_GB2312" w:hAnsi="仿宋_GB2312" w:cs="仿宋_GB2312" w:eastAsia="仿宋_GB2312"/>
        </w:rPr>
        <w:t>详见附件：供应商认为需要提交的其他材料.docx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